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FDA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75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2E8811F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364"/>
      <w:r>
        <w:rPr>
          <w:rFonts w:hint="eastAsia"/>
          <w:lang w:val="en-US" w:eastAsia="zh-CN"/>
        </w:rPr>
        <w:t>2025年度</w:t>
      </w:r>
      <w:bookmarkStart w:id="21" w:name="_GoBack"/>
      <w:bookmarkEnd w:id="21"/>
      <w:r>
        <w:rPr>
          <w:rFonts w:hint="eastAsia"/>
          <w:lang w:val="en-US" w:eastAsia="zh-CN"/>
        </w:rPr>
        <w:t>运维服务质量管理计划</w:t>
      </w:r>
      <w:bookmarkEnd w:id="1"/>
    </w:p>
    <w:p w14:paraId="5E7A44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CFC1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6410F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7EC418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492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FEEB4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5320F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9A7D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BD5EA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058589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09936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4310D1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EDCAC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E649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79A67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5486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E42B1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D3E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F76C4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D4F1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DD185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43887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吴智锋</w:t>
            </w:r>
          </w:p>
        </w:tc>
      </w:tr>
      <w:tr w14:paraId="18BED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5DFB3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8ECC9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00A70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9477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E7FD1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15877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6C5D8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0BCA4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00D83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350D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36F16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F73DC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A6E3D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0468F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3B37D7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2899B0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1CB2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_Toc5757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FE0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_Toc23364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36E4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D3E0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_Toc3634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B2E3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_Toc31789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90E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99E4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运维部</w:t>
          </w:r>
          <w:r>
            <w:tab/>
          </w:r>
          <w:r>
            <w:fldChar w:fldCharType="begin"/>
          </w:r>
          <w:r>
            <w:instrText xml:space="preserve"> PAGEREF _Toc21841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E38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2F24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_Toc17137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C01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技术研发部</w:t>
          </w:r>
          <w:r>
            <w:tab/>
          </w:r>
          <w:r>
            <w:fldChar w:fldCharType="begin"/>
          </w:r>
          <w:r>
            <w:instrText xml:space="preserve"> PAGEREF _Toc8656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3A19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1.3.5. 综合管理部</w:t>
          </w:r>
          <w:r>
            <w:tab/>
          </w:r>
          <w:r>
            <w:fldChar w:fldCharType="begin"/>
          </w:r>
          <w:r>
            <w:instrText xml:space="preserve"> PAGEREF _Toc31777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73DB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_Toc10453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209D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_Toc20080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F937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质量保证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C561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SLA（服务级别协议）</w:t>
          </w:r>
          <w:r>
            <w:tab/>
          </w:r>
          <w:r>
            <w:fldChar w:fldCharType="begin"/>
          </w:r>
          <w:r>
            <w:instrText xml:space="preserve"> PAGEREF _Toc24663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8B81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_Toc10349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27B1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C395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质量保证组织</w:t>
          </w:r>
          <w:r>
            <w:tab/>
          </w:r>
          <w:r>
            <w:fldChar w:fldCharType="begin"/>
          </w:r>
          <w:r>
            <w:instrText xml:space="preserve"> PAGEREF _Toc23461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A868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年度质量保证目标</w:t>
          </w:r>
          <w:r>
            <w:tab/>
          </w:r>
          <w:r>
            <w:fldChar w:fldCharType="begin"/>
          </w:r>
          <w:r>
            <w:instrText xml:space="preserve"> PAGEREF _Toc20513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C8EA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主要质量保证活动</w:t>
          </w:r>
          <w:r>
            <w:tab/>
          </w:r>
          <w:r>
            <w:fldChar w:fldCharType="begin"/>
          </w:r>
          <w:r>
            <w:instrText xml:space="preserve"> PAGEREF _Toc4307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A0C2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质量保证活动实施</w:t>
          </w:r>
          <w:r>
            <w:tab/>
          </w:r>
          <w:r>
            <w:fldChar w:fldCharType="begin"/>
          </w:r>
          <w:r>
            <w:instrText xml:space="preserve"> PAGEREF _Toc12536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C894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0E3BE7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E97EDB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4345"/>
      <w:r>
        <w:rPr>
          <w:rFonts w:hint="eastAsia"/>
          <w:lang w:val="en-US" w:eastAsia="zh-CN"/>
        </w:rPr>
        <w:t>总则</w:t>
      </w:r>
      <w:bookmarkEnd w:id="2"/>
    </w:p>
    <w:p w14:paraId="1FDBD3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634"/>
      <w:r>
        <w:rPr>
          <w:rFonts w:hint="eastAsia"/>
          <w:lang w:val="en-US" w:eastAsia="zh-CN"/>
        </w:rPr>
        <w:t>目的</w:t>
      </w:r>
      <w:bookmarkEnd w:id="3"/>
    </w:p>
    <w:p w14:paraId="0608C54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性地规划与执行2025年度公司运维服务过程及项目的质量保证活动，确保各项活动获得充分资源并有效实施，特制定本计划。旨在通过多层级检查与审计，保障运维服务满足客户质量要求与SLA承诺，识别服务过程中的缺陷与改进机会，驱动服务质量持续提升，最终实现客户满意。</w:t>
      </w:r>
    </w:p>
    <w:p w14:paraId="4312CB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1789"/>
      <w:r>
        <w:rPr>
          <w:rFonts w:hint="eastAsia"/>
          <w:lang w:val="en-US" w:eastAsia="zh-CN"/>
        </w:rPr>
        <w:t>适用范围</w:t>
      </w:r>
      <w:bookmarkEnd w:id="4"/>
    </w:p>
    <w:p w14:paraId="16C031B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1481A6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2569"/>
      <w:r>
        <w:rPr>
          <w:rFonts w:hint="eastAsia"/>
          <w:lang w:val="en-US" w:eastAsia="zh-CN"/>
        </w:rPr>
        <w:t>岗位职责</w:t>
      </w:r>
      <w:bookmarkEnd w:id="5"/>
    </w:p>
    <w:p w14:paraId="5B393664">
      <w:pPr>
        <w:pStyle w:val="31"/>
        <w:bidi w:val="0"/>
        <w:rPr>
          <w:rFonts w:hint="default"/>
          <w:lang w:val="en-US" w:eastAsia="zh-CN"/>
        </w:rPr>
      </w:pPr>
      <w:bookmarkStart w:id="6" w:name="_Toc21841"/>
      <w:r>
        <w:rPr>
          <w:rFonts w:hint="default"/>
          <w:lang w:val="en-US" w:eastAsia="zh-CN"/>
        </w:rPr>
        <w:t>运维部</w:t>
      </w:r>
      <w:bookmarkEnd w:id="6"/>
    </w:p>
    <w:p w14:paraId="16211D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负责执行服务级别协议，保障SLA达成；及时提供高质量服务，提升客户满意度。</w:t>
      </w:r>
    </w:p>
    <w:p w14:paraId="2B896987">
      <w:pPr>
        <w:pStyle w:val="31"/>
        <w:bidi w:val="0"/>
        <w:rPr>
          <w:rFonts w:hint="eastAsia"/>
          <w:lang w:val="en-US" w:eastAsia="zh-CN"/>
        </w:rPr>
      </w:pPr>
      <w:bookmarkStart w:id="7" w:name="_Toc8898"/>
      <w:r>
        <w:rPr>
          <w:rFonts w:hint="eastAsia"/>
          <w:lang w:val="en-US" w:eastAsia="zh-CN"/>
        </w:rPr>
        <w:t>质量部</w:t>
      </w:r>
      <w:bookmarkEnd w:id="7"/>
    </w:p>
    <w:p w14:paraId="077E64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负责组织年度运维服务质量管理计划的策划与实施；组织体系内审、管理评审及问题跟踪；对接外部审核机构并筹备相关认证。</w:t>
      </w:r>
    </w:p>
    <w:p w14:paraId="7DA71470">
      <w:pPr>
        <w:pStyle w:val="31"/>
        <w:bidi w:val="0"/>
        <w:rPr>
          <w:rFonts w:hint="eastAsia"/>
          <w:lang w:val="en-US" w:eastAsia="zh-CN"/>
        </w:rPr>
      </w:pPr>
      <w:bookmarkStart w:id="8" w:name="_Toc17137"/>
      <w:r>
        <w:rPr>
          <w:rFonts w:hint="eastAsia"/>
          <w:lang w:val="en-US" w:eastAsia="zh-CN"/>
        </w:rPr>
        <w:t>服务台</w:t>
      </w:r>
      <w:bookmarkEnd w:id="8"/>
    </w:p>
    <w:p w14:paraId="39F40F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负责组织客户满意度调查与分析，并跟踪改进问题；监控运维服务质量，定期组织质量分析会；负责SLA达成率的统计分析。</w:t>
      </w:r>
    </w:p>
    <w:p w14:paraId="75DA5A62">
      <w:pPr>
        <w:pStyle w:val="31"/>
        <w:bidi w:val="0"/>
        <w:rPr>
          <w:rFonts w:hint="eastAsia"/>
          <w:lang w:val="en-US" w:eastAsia="zh-CN"/>
        </w:rPr>
      </w:pPr>
      <w:bookmarkStart w:id="9" w:name="_Toc8656"/>
      <w:r>
        <w:rPr>
          <w:rFonts w:hint="eastAsia"/>
          <w:lang w:val="en-US" w:eastAsia="zh-CN"/>
        </w:rPr>
        <w:t>技术研发部</w:t>
      </w:r>
      <w:bookmarkEnd w:id="9"/>
    </w:p>
    <w:p w14:paraId="0A6471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负责及时研发并提供运维服务工具，提升服务效率与可靠性；为运维部提供必要技术支持。</w:t>
      </w:r>
    </w:p>
    <w:p w14:paraId="74420184">
      <w:pPr>
        <w:pStyle w:val="31"/>
        <w:bidi w:val="0"/>
        <w:rPr>
          <w:rFonts w:hint="default"/>
          <w:lang w:val="en-US" w:eastAsia="zh-CN"/>
        </w:rPr>
      </w:pPr>
      <w:bookmarkStart w:id="10" w:name="_Toc31777"/>
      <w:r>
        <w:rPr>
          <w:rFonts w:hint="default"/>
          <w:lang w:val="en-US" w:eastAsia="zh-CN"/>
        </w:rPr>
        <w:t>综合管理部</w:t>
      </w:r>
      <w:bookmarkEnd w:id="10"/>
    </w:p>
    <w:p w14:paraId="215EA5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负责按计划组织员工质量意识与技能培训；及时配置满足要求的人力资源。</w:t>
      </w:r>
    </w:p>
    <w:p w14:paraId="0B5507C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0453"/>
      <w:r>
        <w:rPr>
          <w:rFonts w:hint="eastAsia"/>
          <w:lang w:val="en-US" w:eastAsia="zh-CN"/>
        </w:rPr>
        <w:t>引用依据</w:t>
      </w:r>
      <w:bookmarkEnd w:id="11"/>
    </w:p>
    <w:p w14:paraId="63CAAAE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2B7FB7A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C28949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205A377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0080"/>
      <w:r>
        <w:rPr>
          <w:rFonts w:hint="eastAsia"/>
          <w:lang w:val="en-US" w:eastAsia="zh-CN"/>
        </w:rPr>
        <w:t>定义与术语</w:t>
      </w:r>
      <w:bookmarkEnd w:id="12"/>
    </w:p>
    <w:p w14:paraId="2FEB2D60">
      <w:pPr>
        <w:pStyle w:val="30"/>
        <w:bidi w:val="0"/>
        <w:rPr>
          <w:rFonts w:hint="eastAsia"/>
        </w:rPr>
      </w:pPr>
      <w:bookmarkStart w:id="13" w:name="_Toc32361"/>
      <w:r>
        <w:rPr>
          <w:rFonts w:hint="eastAsia"/>
        </w:rPr>
        <w:t>质量保证</w:t>
      </w:r>
      <w:bookmarkEnd w:id="13"/>
    </w:p>
    <w:p w14:paraId="296433AF">
      <w:pPr>
        <w:pStyle w:val="29"/>
        <w:rPr>
          <w:rFonts w:hint="eastAsia"/>
        </w:rPr>
      </w:pPr>
      <w:r>
        <w:rPr>
          <w:rFonts w:hint="eastAsia"/>
        </w:rPr>
        <w:t>指所有有计划、系统性的活动，以确保项目或服务过程符合既定标准与要求。</w:t>
      </w:r>
    </w:p>
    <w:p w14:paraId="68884A0C">
      <w:pPr>
        <w:pStyle w:val="30"/>
        <w:bidi w:val="0"/>
        <w:rPr>
          <w:rFonts w:hint="eastAsia"/>
        </w:rPr>
      </w:pPr>
      <w:bookmarkStart w:id="14" w:name="_Toc24663"/>
      <w:r>
        <w:rPr>
          <w:rFonts w:hint="eastAsia"/>
        </w:rPr>
        <w:t>SLA（服务级别协议）</w:t>
      </w:r>
      <w:bookmarkEnd w:id="14"/>
    </w:p>
    <w:p w14:paraId="0C6C9A6B">
      <w:pPr>
        <w:pStyle w:val="29"/>
        <w:rPr>
          <w:rFonts w:hint="eastAsia"/>
        </w:rPr>
      </w:pPr>
      <w:r>
        <w:rPr>
          <w:rFonts w:hint="eastAsia"/>
        </w:rPr>
        <w:t>服务提供方与客户之间正式约定的、可量化的服务标准。</w:t>
      </w:r>
    </w:p>
    <w:p w14:paraId="24BA1C81">
      <w:pPr>
        <w:pStyle w:val="30"/>
        <w:bidi w:val="0"/>
        <w:rPr>
          <w:rFonts w:hint="eastAsia"/>
        </w:rPr>
      </w:pPr>
      <w:bookmarkStart w:id="15" w:name="_Toc10349"/>
      <w:r>
        <w:rPr>
          <w:rFonts w:hint="eastAsia"/>
        </w:rPr>
        <w:t>内部审核</w:t>
      </w:r>
      <w:bookmarkEnd w:id="15"/>
    </w:p>
    <w:p w14:paraId="4C1B243C">
      <w:pPr>
        <w:pStyle w:val="29"/>
      </w:pPr>
      <w:r>
        <w:rPr>
          <w:rFonts w:hint="eastAsia"/>
        </w:rPr>
        <w:t>为确定管理体系是否符合规定要求并得到有效实施与保持，而独立进行的系统性检查。</w:t>
      </w:r>
    </w:p>
    <w:p w14:paraId="6C13504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1800"/>
      <w:r>
        <w:rPr>
          <w:rFonts w:hint="eastAsia"/>
          <w:lang w:val="en-US" w:eastAsia="zh-CN"/>
        </w:rPr>
        <w:t>管理内容与要求</w:t>
      </w:r>
      <w:bookmarkEnd w:id="16"/>
    </w:p>
    <w:p w14:paraId="7FA74F51">
      <w:pPr>
        <w:pStyle w:val="30"/>
        <w:bidi w:val="0"/>
        <w:rPr>
          <w:rFonts w:hint="default"/>
          <w:lang w:val="en-US" w:eastAsia="zh-CN"/>
        </w:rPr>
      </w:pPr>
      <w:bookmarkStart w:id="17" w:name="_Toc23461"/>
      <w:r>
        <w:rPr>
          <w:rFonts w:hint="default"/>
          <w:lang w:val="en-US" w:eastAsia="zh-CN"/>
        </w:rPr>
        <w:t>质量保证组织</w:t>
      </w:r>
      <w:bookmarkEnd w:id="17"/>
    </w:p>
    <w:p w14:paraId="2377E9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公司设立运维服务质量保证组，常设于质量部，由质量部经理与质量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专员构成。</w:t>
      </w:r>
    </w:p>
    <w:p w14:paraId="05C23B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质量部经理：负责制定本计划；组织质量审计、检查活动；组织运维指标的收集与分析；主导重大事故调查与改进；组织体系内审并跟踪不符合项。</w:t>
      </w:r>
    </w:p>
    <w:p w14:paraId="49B48D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：按计划执行质量保证活动；收集分析运维服务指标，识别改进需求；负责运维服务管理体系的内部培训与推广。</w:t>
      </w:r>
    </w:p>
    <w:p w14:paraId="076A7CB9">
      <w:pPr>
        <w:pStyle w:val="30"/>
        <w:bidi w:val="0"/>
        <w:rPr>
          <w:rFonts w:hint="default"/>
          <w:lang w:val="en-US" w:eastAsia="zh-CN"/>
        </w:rPr>
      </w:pPr>
      <w:bookmarkStart w:id="18" w:name="_Toc20513"/>
      <w:r>
        <w:rPr>
          <w:rFonts w:hint="default"/>
          <w:lang w:val="en-US" w:eastAsia="zh-CN"/>
        </w:rPr>
        <w:t>年度质量保证目标</w:t>
      </w:r>
      <w:bookmarkEnd w:id="18"/>
    </w:p>
    <w:p w14:paraId="45E39BC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运维服务能力目标：依据公司建立的运维服务能力管理指标体系，对服务台一次性解决率、事件平均解决时间、备件库库存周转率、知识库利用率等关键指标进行持续跟踪与监控，确保服务质量稳定可控。</w:t>
      </w:r>
    </w:p>
    <w:p w14:paraId="3017D6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质量保证组工作目标：</w:t>
      </w:r>
    </w:p>
    <w:p w14:paraId="5473A7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审计各项目组及服务台、备件库等模块是否遵循已建立的运维服务管理体系。</w:t>
      </w:r>
    </w:p>
    <w:p w14:paraId="450B9F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检查各类报告与记录的及时性、准确性与完整性。</w:t>
      </w:r>
    </w:p>
    <w:p w14:paraId="41C0FD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确保管理评审暴露的问题得到及时、有效的解决。</w:t>
      </w:r>
    </w:p>
    <w:p w14:paraId="758D5D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组织体系文件培训，强化全员质量意识，适时扩充质量保证队伍。</w:t>
      </w:r>
    </w:p>
    <w:p w14:paraId="4788A160">
      <w:pPr>
        <w:pStyle w:val="30"/>
        <w:bidi w:val="0"/>
        <w:rPr>
          <w:rFonts w:hint="default"/>
          <w:lang w:val="en-US" w:eastAsia="zh-CN"/>
        </w:rPr>
      </w:pPr>
      <w:bookmarkStart w:id="19" w:name="_Toc4307"/>
      <w:r>
        <w:rPr>
          <w:rFonts w:hint="default"/>
          <w:lang w:val="en-US" w:eastAsia="zh-CN"/>
        </w:rPr>
        <w:t>主要质量保证活动</w:t>
      </w:r>
      <w:bookmarkEnd w:id="19"/>
    </w:p>
    <w:p w14:paraId="31285A1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质量管理人员培训：组织质量管理人员参加运维服务能力管理体系培训，深化对运维业务及管控机制的理解，优化质量监控点。</w:t>
      </w:r>
    </w:p>
    <w:p w14:paraId="136206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制定年度质量管理计划：质量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需深入理解公司年度运维服务能力实施计划，结合制度要求，制定本年度质量管理整体计划。</w:t>
      </w:r>
    </w:p>
    <w:p w14:paraId="25162D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服务指标收集与分析：依据公司运维服务能力指标体系，定期从服务台、备件库等环节系统收集各指标数据并进行分析。</w:t>
      </w:r>
    </w:p>
    <w:p w14:paraId="363C009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制定项目质量计划：在运维项目启动后，与项目经理协同制定该项目的《质量管理计划》，明确质量职责、资源及评审要求。</w:t>
      </w:r>
    </w:p>
    <w:p w14:paraId="3A885E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审计与检查：在项目执行过程中，依据项目《质量管理计划》，通过过程评审、人员访谈及活动参与等方式，监督过程合规性，检查过程产品。重点审计服务台的事件管理流程、备件库的出入库管理规范及服务知识的创建与应用闭环。</w:t>
      </w:r>
    </w:p>
    <w:p w14:paraId="48022848">
      <w:pPr>
        <w:pStyle w:val="30"/>
        <w:bidi w:val="0"/>
        <w:rPr>
          <w:rFonts w:hint="default"/>
          <w:lang w:val="en-US" w:eastAsia="zh-CN"/>
        </w:rPr>
      </w:pPr>
      <w:bookmarkStart w:id="20" w:name="_Toc12536"/>
      <w:r>
        <w:rPr>
          <w:rFonts w:hint="eastAsia"/>
          <w:lang w:val="en-US" w:eastAsia="zh-CN"/>
        </w:rPr>
        <w:t>质量保证活动实施</w:t>
      </w:r>
      <w:bookmarkEnd w:id="20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512"/>
        <w:gridCol w:w="1536"/>
        <w:gridCol w:w="1354"/>
        <w:gridCol w:w="2340"/>
      </w:tblGrid>
      <w:tr w14:paraId="753A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77F064A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512" w:type="dxa"/>
          </w:tcPr>
          <w:p w14:paraId="38F98E5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质量保证活动</w:t>
            </w:r>
          </w:p>
        </w:tc>
        <w:tc>
          <w:tcPr>
            <w:tcW w:w="1536" w:type="dxa"/>
          </w:tcPr>
          <w:p w14:paraId="466FA08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354" w:type="dxa"/>
          </w:tcPr>
          <w:p w14:paraId="5E29FFC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时间安排</w:t>
            </w:r>
          </w:p>
        </w:tc>
        <w:tc>
          <w:tcPr>
            <w:tcW w:w="2340" w:type="dxa"/>
          </w:tcPr>
          <w:p w14:paraId="5203361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输出要求</w:t>
            </w:r>
          </w:p>
        </w:tc>
      </w:tr>
      <w:tr w14:paraId="6B33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4A0833DE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2A6ADDA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客户满意度调查计划</w:t>
            </w:r>
          </w:p>
        </w:tc>
        <w:tc>
          <w:tcPr>
            <w:tcW w:w="1536" w:type="dxa"/>
            <w:shd w:val="clear" w:color="auto" w:fill="auto"/>
          </w:tcPr>
          <w:p w14:paraId="201FBA3C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  <w:shd w:val="clear" w:color="auto" w:fill="auto"/>
          </w:tcPr>
          <w:p w14:paraId="5EA46484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4BF68761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01006130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 w14:paraId="110961B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3D6628E1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《满意度调查计划》</w:t>
            </w:r>
          </w:p>
        </w:tc>
      </w:tr>
      <w:tr w14:paraId="5B84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B696E66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3C19285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</w:t>
            </w:r>
          </w:p>
        </w:tc>
        <w:tc>
          <w:tcPr>
            <w:tcW w:w="1536" w:type="dxa"/>
          </w:tcPr>
          <w:p w14:paraId="0BA8618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24965558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6980AF4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6DDC64D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 w14:paraId="1BA402B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35EE246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《满意度调查结果》</w:t>
            </w:r>
          </w:p>
        </w:tc>
      </w:tr>
      <w:tr w14:paraId="3D07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B783748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6942BF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满意度调查结果分析</w:t>
            </w:r>
          </w:p>
        </w:tc>
        <w:tc>
          <w:tcPr>
            <w:tcW w:w="1536" w:type="dxa"/>
          </w:tcPr>
          <w:p w14:paraId="368936B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3FF15252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561E960D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609D2705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  <w:p w14:paraId="7E85DCD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43902F8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《满意度调查报告》</w:t>
            </w:r>
          </w:p>
        </w:tc>
      </w:tr>
      <w:tr w14:paraId="063C6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C7F4D88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34B46C6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内审计划</w:t>
            </w:r>
          </w:p>
        </w:tc>
        <w:tc>
          <w:tcPr>
            <w:tcW w:w="1536" w:type="dxa"/>
          </w:tcPr>
          <w:p w14:paraId="384B58D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 w14:paraId="6349084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56C5E75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《内审计划》</w:t>
            </w:r>
          </w:p>
        </w:tc>
      </w:tr>
      <w:tr w14:paraId="026E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54FCB20E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16A60B2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内审检查表</w:t>
            </w:r>
          </w:p>
        </w:tc>
        <w:tc>
          <w:tcPr>
            <w:tcW w:w="1536" w:type="dxa"/>
          </w:tcPr>
          <w:p w14:paraId="4E6FAAD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 w14:paraId="0A8884C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73F1AAE7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《内审检查表》</w:t>
            </w:r>
          </w:p>
        </w:tc>
      </w:tr>
      <w:tr w14:paraId="70E7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CB5FF2E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A6ED145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内审结果分析、汇总</w:t>
            </w:r>
          </w:p>
          <w:p w14:paraId="14FA1CA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不符合项处理</w:t>
            </w:r>
          </w:p>
        </w:tc>
        <w:tc>
          <w:tcPr>
            <w:tcW w:w="1536" w:type="dxa"/>
          </w:tcPr>
          <w:p w14:paraId="482154A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 w14:paraId="19EE467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7ECC9476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《内审不符合报告》</w:t>
            </w:r>
          </w:p>
          <w:p w14:paraId="42411111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《内审报告》</w:t>
            </w:r>
          </w:p>
        </w:tc>
      </w:tr>
      <w:tr w14:paraId="50B5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9F30A04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5C6F6BB9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管理评审</w:t>
            </w:r>
          </w:p>
        </w:tc>
        <w:tc>
          <w:tcPr>
            <w:tcW w:w="1536" w:type="dxa"/>
            <w:shd w:val="clear" w:color="auto" w:fill="auto"/>
          </w:tcPr>
          <w:p w14:paraId="145CD05F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 w14:paraId="3B479B22">
            <w:pPr>
              <w:pStyle w:val="29"/>
              <w:widowControl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03EED38E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《管理评审计划》</w:t>
            </w:r>
          </w:p>
        </w:tc>
      </w:tr>
      <w:tr w14:paraId="30B2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44A83B4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AC1362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管评结果分析、汇总</w:t>
            </w:r>
          </w:p>
        </w:tc>
        <w:tc>
          <w:tcPr>
            <w:tcW w:w="1536" w:type="dxa"/>
            <w:shd w:val="clear" w:color="auto" w:fill="auto"/>
          </w:tcPr>
          <w:p w14:paraId="10A6A4E6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 w14:paraId="7496208F">
            <w:pPr>
              <w:pStyle w:val="29"/>
              <w:widowControl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2A3DCF57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《管理评审报告》</w:t>
            </w:r>
          </w:p>
        </w:tc>
      </w:tr>
      <w:tr w14:paraId="49DE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BD008B7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2E7F231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质量管理总结</w:t>
            </w:r>
          </w:p>
        </w:tc>
        <w:tc>
          <w:tcPr>
            <w:tcW w:w="1536" w:type="dxa"/>
            <w:shd w:val="clear" w:color="auto" w:fill="auto"/>
          </w:tcPr>
          <w:p w14:paraId="4D17207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 w14:paraId="7F47A7CC">
            <w:pPr>
              <w:pStyle w:val="29"/>
              <w:widowControl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2025.12</w:t>
            </w:r>
          </w:p>
        </w:tc>
        <w:tc>
          <w:tcPr>
            <w:tcW w:w="2340" w:type="dxa"/>
          </w:tcPr>
          <w:p w14:paraId="4A6300E6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《质量管理报告》</w:t>
            </w:r>
          </w:p>
        </w:tc>
      </w:tr>
    </w:tbl>
    <w:p w14:paraId="2D97B5DA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38B0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99CE0E"/>
    <w:multiLevelType w:val="singleLevel"/>
    <w:tmpl w:val="B999CE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31C41F"/>
    <w:multiLevelType w:val="singleLevel"/>
    <w:tmpl w:val="5831C4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E3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1823</Words>
  <Characters>2088</Characters>
  <Lines>0</Lines>
  <Paragraphs>0</Paragraphs>
  <TotalTime>0</TotalTime>
  <ScaleCrop>false</ScaleCrop>
  <LinksUpToDate>false</LinksUpToDate>
  <CharactersWithSpaces>2181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