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FF69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75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1AF8125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5850"/>
      <w:r>
        <w:rPr>
          <w:rFonts w:hint="eastAsia"/>
          <w:lang w:val="en-US" w:eastAsia="zh-CN"/>
        </w:rPr>
        <w:t>2025年度</w:t>
      </w:r>
      <w:bookmarkStart w:id="9" w:name="_GoBack"/>
      <w:bookmarkEnd w:id="9"/>
      <w:r>
        <w:rPr>
          <w:rFonts w:hint="eastAsia"/>
          <w:lang w:val="en-US" w:eastAsia="zh-CN"/>
        </w:rPr>
        <w:t>运维服务质量管理报告</w:t>
      </w:r>
      <w:bookmarkEnd w:id="1"/>
    </w:p>
    <w:p w14:paraId="7CCC82D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83D9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4FA6D8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6DA4892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r w14:paraId="009C1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B74B36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2ADF49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r w14:paraId="7A5AD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82C0C7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76F9C26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2025.12.28</w:t>
            </w:r>
          </w:p>
        </w:tc>
      </w:tr>
    </w:tbl>
    <w:p w14:paraId="610A4EB9">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159832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71D0F0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43A6001">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66F760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70A742C">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1B315547">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BFAAE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F134A0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28</w:t>
            </w:r>
          </w:p>
        </w:tc>
        <w:tc>
          <w:tcPr>
            <w:tcW w:w="919" w:type="dxa"/>
          </w:tcPr>
          <w:p w14:paraId="132881D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DC1E583">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E7BFC2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1EF96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F9C745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566B40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42F038C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125164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69EB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D2FBE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E1DE02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088FAC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2A0BA1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20CD5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3ED9F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1032BF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85EC3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5B3BE5A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3605B4C">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C107AF5">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5A30163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_Toc25756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_Toc25756 \h </w:instrText>
          </w:r>
          <w:r>
            <w:fldChar w:fldCharType="separate"/>
          </w:r>
          <w:r>
            <w:t>1</w:t>
          </w:r>
          <w:r>
            <w:fldChar w:fldCharType="end"/>
          </w:r>
          <w:r>
            <w:rPr>
              <w:rFonts w:hint="eastAsia" w:ascii="宋体" w:hAnsi="宋体" w:eastAsia="宋体" w:cs="宋体"/>
              <w:szCs w:val="24"/>
            </w:rPr>
            <w:fldChar w:fldCharType="end"/>
          </w:r>
        </w:p>
        <w:p w14:paraId="6EA5DAE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_Toc5850 </w:instrText>
          </w:r>
          <w:r>
            <w:rPr>
              <w:rFonts w:hint="eastAsia" w:ascii="宋体" w:hAnsi="宋体" w:eastAsia="宋体" w:cs="宋体"/>
              <w:szCs w:val="24"/>
            </w:rPr>
            <w:fldChar w:fldCharType="separate"/>
          </w:r>
          <w:r>
            <w:rPr>
              <w:rFonts w:hint="eastAsia"/>
              <w:lang w:val="en-US" w:eastAsia="zh-CN"/>
            </w:rPr>
            <w:t>运维服务质量管理报告</w:t>
          </w:r>
          <w:r>
            <w:tab/>
          </w:r>
          <w:r>
            <w:fldChar w:fldCharType="begin"/>
          </w:r>
          <w:r>
            <w:instrText xml:space="preserve"> PAGEREF _Toc5850 \h </w:instrText>
          </w:r>
          <w:r>
            <w:fldChar w:fldCharType="separate"/>
          </w:r>
          <w:r>
            <w:t>1</w:t>
          </w:r>
          <w:r>
            <w:fldChar w:fldCharType="end"/>
          </w:r>
          <w:r>
            <w:rPr>
              <w:rFonts w:hint="eastAsia" w:ascii="宋体" w:hAnsi="宋体" w:eastAsia="宋体" w:cs="宋体"/>
              <w:szCs w:val="24"/>
            </w:rPr>
            <w:fldChar w:fldCharType="end"/>
          </w:r>
        </w:p>
        <w:p w14:paraId="00B9669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_Toc12079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_Toc12079 \h </w:instrText>
          </w:r>
          <w:r>
            <w:fldChar w:fldCharType="separate"/>
          </w:r>
          <w:r>
            <w:t>4</w:t>
          </w:r>
          <w:r>
            <w:fldChar w:fldCharType="end"/>
          </w:r>
          <w:r>
            <w:rPr>
              <w:rFonts w:hint="eastAsia" w:ascii="宋体" w:hAnsi="宋体" w:eastAsia="宋体" w:cs="宋体"/>
              <w:szCs w:val="24"/>
            </w:rPr>
            <w:fldChar w:fldCharType="end"/>
          </w:r>
        </w:p>
        <w:p w14:paraId="50643C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_Toc14388 </w:instrText>
          </w:r>
          <w:r>
            <w:rPr>
              <w:rFonts w:hint="eastAsia" w:ascii="宋体" w:hAnsi="宋体" w:eastAsia="宋体" w:cs="宋体"/>
              <w:szCs w:val="24"/>
            </w:rPr>
            <w:fldChar w:fldCharType="separate"/>
          </w:r>
          <w:r>
            <w:rPr>
              <w:rFonts w:hint="default"/>
              <w:lang w:val="en-US" w:eastAsia="zh-CN"/>
            </w:rPr>
            <w:t xml:space="preserve">2. </w:t>
          </w:r>
          <w:r>
            <w:t>运维服务质量</w:t>
          </w:r>
          <w:r>
            <w:rPr>
              <w:rFonts w:hint="eastAsia"/>
              <w:lang w:val="en-US" w:eastAsia="zh-CN"/>
            </w:rPr>
            <w:t>结果</w:t>
          </w:r>
          <w:r>
            <w:t>分析</w:t>
          </w:r>
          <w:r>
            <w:tab/>
          </w:r>
          <w:r>
            <w:fldChar w:fldCharType="begin"/>
          </w:r>
          <w:r>
            <w:instrText xml:space="preserve"> PAGEREF _Toc14388 \h </w:instrText>
          </w:r>
          <w:r>
            <w:fldChar w:fldCharType="separate"/>
          </w:r>
          <w:r>
            <w:t>4</w:t>
          </w:r>
          <w:r>
            <w:fldChar w:fldCharType="end"/>
          </w:r>
          <w:r>
            <w:rPr>
              <w:rFonts w:hint="eastAsia" w:ascii="宋体" w:hAnsi="宋体" w:eastAsia="宋体" w:cs="宋体"/>
              <w:szCs w:val="24"/>
            </w:rPr>
            <w:fldChar w:fldCharType="end"/>
          </w:r>
        </w:p>
        <w:p w14:paraId="73ED45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_Toc18820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客户满意度</w:t>
          </w:r>
          <w:r>
            <w:tab/>
          </w:r>
          <w:r>
            <w:fldChar w:fldCharType="begin"/>
          </w:r>
          <w:r>
            <w:instrText xml:space="preserve"> PAGEREF _Toc18820 \h </w:instrText>
          </w:r>
          <w:r>
            <w:fldChar w:fldCharType="separate"/>
          </w:r>
          <w:r>
            <w:t>4</w:t>
          </w:r>
          <w:r>
            <w:fldChar w:fldCharType="end"/>
          </w:r>
          <w:r>
            <w:rPr>
              <w:rFonts w:hint="eastAsia" w:ascii="宋体" w:hAnsi="宋体" w:eastAsia="宋体" w:cs="宋体"/>
              <w:szCs w:val="24"/>
            </w:rPr>
            <w:fldChar w:fldCharType="end"/>
          </w:r>
        </w:p>
        <w:p w14:paraId="0F735D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_Toc26921 </w:instrText>
          </w:r>
          <w:r>
            <w:rPr>
              <w:rFonts w:hint="eastAsia" w:ascii="宋体" w:hAnsi="宋体" w:eastAsia="宋体" w:cs="宋体"/>
              <w:szCs w:val="24"/>
            </w:rPr>
            <w:fldChar w:fldCharType="separate"/>
          </w:r>
          <w:r>
            <w:rPr>
              <w:rFonts w:hint="default" w:ascii="Segoe UI" w:hAnsi="Segoe UI" w:eastAsia="宋体" w:cs="Segoe UI"/>
              <w:i w:val="0"/>
              <w:iCs w:val="0"/>
              <w:caps w:val="0"/>
              <w:spacing w:val="0"/>
              <w:szCs w:val="24"/>
              <w:shd w:val="clear" w:color="auto" w:fill="FFFFFF"/>
              <w:lang w:val="en-US" w:eastAsia="zh-CN"/>
            </w:rPr>
            <w:t xml:space="preserve">2.2. </w:t>
          </w:r>
          <w:r>
            <w:rPr>
              <w:rFonts w:hint="eastAsia"/>
              <w:lang w:val="en-US" w:eastAsia="zh-CN"/>
            </w:rPr>
            <w:t>SLA达成率</w:t>
          </w:r>
          <w:r>
            <w:tab/>
          </w:r>
          <w:r>
            <w:fldChar w:fldCharType="begin"/>
          </w:r>
          <w:r>
            <w:instrText xml:space="preserve"> PAGEREF _Toc26921 \h </w:instrText>
          </w:r>
          <w:r>
            <w:fldChar w:fldCharType="separate"/>
          </w:r>
          <w:r>
            <w:t>4</w:t>
          </w:r>
          <w:r>
            <w:fldChar w:fldCharType="end"/>
          </w:r>
          <w:r>
            <w:rPr>
              <w:rFonts w:hint="eastAsia" w:ascii="宋体" w:hAnsi="宋体" w:eastAsia="宋体" w:cs="宋体"/>
              <w:szCs w:val="24"/>
            </w:rPr>
            <w:fldChar w:fldCharType="end"/>
          </w:r>
        </w:p>
        <w:p w14:paraId="73326F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_Toc17773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内审</w:t>
          </w:r>
          <w:r>
            <w:tab/>
          </w:r>
          <w:r>
            <w:fldChar w:fldCharType="begin"/>
          </w:r>
          <w:r>
            <w:instrText xml:space="preserve"> PAGEREF _Toc17773 \h </w:instrText>
          </w:r>
          <w:r>
            <w:fldChar w:fldCharType="separate"/>
          </w:r>
          <w:r>
            <w:t>5</w:t>
          </w:r>
          <w:r>
            <w:fldChar w:fldCharType="end"/>
          </w:r>
          <w:r>
            <w:rPr>
              <w:rFonts w:hint="eastAsia" w:ascii="宋体" w:hAnsi="宋体" w:eastAsia="宋体" w:cs="宋体"/>
              <w:szCs w:val="24"/>
            </w:rPr>
            <w:fldChar w:fldCharType="end"/>
          </w:r>
        </w:p>
        <w:p w14:paraId="288018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_Toc7484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管理评审</w:t>
          </w:r>
          <w:r>
            <w:tab/>
          </w:r>
          <w:r>
            <w:fldChar w:fldCharType="begin"/>
          </w:r>
          <w:r>
            <w:instrText xml:space="preserve"> PAGEREF _Toc7484 \h </w:instrText>
          </w:r>
          <w:r>
            <w:fldChar w:fldCharType="separate"/>
          </w:r>
          <w:r>
            <w:t>5</w:t>
          </w:r>
          <w:r>
            <w:fldChar w:fldCharType="end"/>
          </w:r>
          <w:r>
            <w:rPr>
              <w:rFonts w:hint="eastAsia" w:ascii="宋体" w:hAnsi="宋体" w:eastAsia="宋体" w:cs="宋体"/>
              <w:szCs w:val="24"/>
            </w:rPr>
            <w:fldChar w:fldCharType="end"/>
          </w:r>
        </w:p>
        <w:p w14:paraId="745D8C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_Toc13678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问题与改进</w:t>
          </w:r>
          <w:r>
            <w:tab/>
          </w:r>
          <w:r>
            <w:fldChar w:fldCharType="begin"/>
          </w:r>
          <w:r>
            <w:instrText xml:space="preserve"> PAGEREF _Toc13678 \h </w:instrText>
          </w:r>
          <w:r>
            <w:fldChar w:fldCharType="separate"/>
          </w:r>
          <w:r>
            <w:t>5</w:t>
          </w:r>
          <w:r>
            <w:fldChar w:fldCharType="end"/>
          </w:r>
          <w:r>
            <w:rPr>
              <w:rFonts w:hint="eastAsia" w:ascii="宋体" w:hAnsi="宋体" w:eastAsia="宋体" w:cs="宋体"/>
              <w:szCs w:val="24"/>
            </w:rPr>
            <w:fldChar w:fldCharType="end"/>
          </w:r>
        </w:p>
        <w:p w14:paraId="4A27B7EA">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7ADB9D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5A40EA6">
      <w:pPr>
        <w:pStyle w:val="28"/>
        <w:bidi w:val="0"/>
      </w:pPr>
      <w:bookmarkStart w:id="2" w:name="_Toc12079"/>
      <w:r>
        <w:rPr>
          <w:rFonts w:hint="default"/>
        </w:rPr>
        <w:t>概述</w:t>
      </w:r>
      <w:bookmarkEnd w:id="2"/>
    </w:p>
    <w:p w14:paraId="705649F5">
      <w:pPr>
        <w:pStyle w:val="29"/>
        <w:bidi w:val="0"/>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w:t>
      </w:r>
      <w:r>
        <w:rPr>
          <w:rFonts w:hint="eastAsia"/>
          <w:lang w:val="en-US" w:eastAsia="zh-CN"/>
        </w:rPr>
        <w:t>5</w:t>
      </w:r>
      <w:r>
        <w:rPr>
          <w:rFonts w:hint="default"/>
        </w:rPr>
        <w:t>年</w:t>
      </w:r>
      <w:r>
        <w:rPr>
          <w:rFonts w:hint="eastAsia"/>
          <w:lang w:val="en-US" w:eastAsia="zh-CN"/>
        </w:rPr>
        <w:t>1-12月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708592A3">
      <w:pPr>
        <w:pStyle w:val="28"/>
        <w:bidi w:val="0"/>
        <w:rPr>
          <w:rFonts w:hint="default"/>
          <w:lang w:val="en-US" w:eastAsia="zh-CN"/>
        </w:rPr>
      </w:pPr>
      <w:bookmarkStart w:id="3" w:name="_Toc14388"/>
      <w:r>
        <w:t>运维服务质量</w:t>
      </w:r>
      <w:r>
        <w:rPr>
          <w:rFonts w:hint="eastAsia"/>
          <w:lang w:val="en-US" w:eastAsia="zh-CN"/>
        </w:rPr>
        <w:t>结果</w:t>
      </w:r>
      <w:r>
        <w:t>分析</w:t>
      </w:r>
      <w:bookmarkEnd w:id="3"/>
    </w:p>
    <w:p w14:paraId="0A416379">
      <w:pPr>
        <w:pStyle w:val="29"/>
        <w:bidi w:val="0"/>
        <w:rPr>
          <w:rFonts w:hint="eastAsia"/>
          <w:lang w:val="en-US" w:eastAsia="zh-CN"/>
        </w:rPr>
      </w:pPr>
      <w:r>
        <w:t>本阶段运维服务质量目标主要围绕服务级别协议（SLA）达成率与客户满意度两大核心指标展开。202</w:t>
      </w:r>
      <w:r>
        <w:rPr>
          <w:rFonts w:hint="eastAsia"/>
          <w:lang w:val="en-US" w:eastAsia="zh-CN"/>
        </w:rPr>
        <w:t>5</w:t>
      </w:r>
      <w:r>
        <w:t>年</w:t>
      </w:r>
      <w:r>
        <w:rPr>
          <w:rFonts w:hint="eastAsia"/>
          <w:lang w:val="en-US" w:eastAsia="zh-CN"/>
        </w:rPr>
        <w:t>1-12月</w:t>
      </w:r>
      <w:r>
        <w:t>，公司设定的质量目标为：客户满意度不低于9</w:t>
      </w:r>
      <w:r>
        <w:rPr>
          <w:rFonts w:hint="eastAsia"/>
          <w:lang w:val="en-US" w:eastAsia="zh-CN"/>
        </w:rPr>
        <w:t>0</w:t>
      </w:r>
      <w:r>
        <w:t>%</w:t>
      </w:r>
      <w:r>
        <w:rPr>
          <w:rFonts w:hint="eastAsia"/>
          <w:lang w:eastAsia="zh-CN"/>
        </w:rPr>
        <w:t>，</w:t>
      </w:r>
      <w:r>
        <w:rPr>
          <w:rFonts w:hint="eastAsia"/>
          <w:lang w:val="en-US" w:eastAsia="zh-CN"/>
        </w:rPr>
        <w:t>按季度考核</w:t>
      </w:r>
      <w:r>
        <w:t>，SLA达成率不低于95%</w:t>
      </w:r>
      <w:r>
        <w:rPr>
          <w:rFonts w:hint="eastAsia"/>
          <w:lang w:eastAsia="zh-CN"/>
        </w:rPr>
        <w:t>，</w:t>
      </w:r>
      <w:r>
        <w:rPr>
          <w:rFonts w:hint="eastAsia"/>
          <w:lang w:val="en-US" w:eastAsia="zh-CN"/>
        </w:rPr>
        <w:t>按季度考核。</w:t>
      </w:r>
    </w:p>
    <w:p w14:paraId="236FD4F0">
      <w:pPr>
        <w:pStyle w:val="30"/>
        <w:bidi w:val="0"/>
        <w:rPr>
          <w:rFonts w:hint="eastAsia"/>
          <w:lang w:val="en-US" w:eastAsia="zh-CN"/>
        </w:rPr>
      </w:pPr>
      <w:bookmarkStart w:id="4" w:name="_Toc18820"/>
      <w:r>
        <w:rPr>
          <w:rFonts w:hint="eastAsia"/>
          <w:lang w:val="en-US" w:eastAsia="zh-CN"/>
        </w:rPr>
        <w:t>客户满意度</w:t>
      </w:r>
      <w:bookmarkEnd w:id="4"/>
    </w:p>
    <w:p w14:paraId="3D1BE23D">
      <w:pPr>
        <w:pStyle w:val="29"/>
        <w:rPr>
          <w:rFonts w:hint="eastAsia"/>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10-12月发放满意度调查问卷15份，客户满意度达到96.59%，客户满意度呈上升趋势。2025年度满意度调查均满足KPI指标要求。</w:t>
      </w:r>
    </w:p>
    <w:p w14:paraId="2D30EA62">
      <w:pPr>
        <w:pStyle w:val="29"/>
        <w:rPr>
          <w:rFonts w:hint="default"/>
          <w:lang w:val="en-US" w:eastAsia="zh-CN"/>
        </w:rPr>
      </w:pPr>
      <w:r>
        <w:rPr>
          <w:rFonts w:hint="eastAsia"/>
          <w:lang w:val="en-US" w:eastAsia="zh-CN"/>
        </w:rPr>
        <w:t>但是在运维管理方面，客户满意度较低。需要加强运维工程师专业技能培训，包括应急基础知识培训、专业知识技能培训等。</w:t>
      </w:r>
    </w:p>
    <w:p w14:paraId="4A607C9C">
      <w:pPr>
        <w:pStyle w:val="30"/>
        <w:bidi w:val="0"/>
        <w:rPr>
          <w:rFonts w:hint="default" w:ascii="Segoe UI" w:hAnsi="Segoe UI" w:eastAsia="宋体" w:cs="Segoe UI"/>
          <w:i w:val="0"/>
          <w:iCs w:val="0"/>
          <w:caps w:val="0"/>
          <w:color w:val="0F1115"/>
          <w:spacing w:val="0"/>
          <w:szCs w:val="24"/>
          <w:shd w:val="clear" w:color="auto" w:fill="FFFFFF"/>
          <w:lang w:val="en-US" w:eastAsia="zh-CN"/>
        </w:rPr>
      </w:pPr>
      <w:bookmarkStart w:id="5" w:name="_Toc26921"/>
      <w:r>
        <w:rPr>
          <w:rFonts w:hint="eastAsia"/>
          <w:lang w:val="en-US" w:eastAsia="zh-CN"/>
        </w:rPr>
        <w:t>SLA达成率</w:t>
      </w:r>
      <w:bookmarkEnd w:id="5"/>
    </w:p>
    <w:p w14:paraId="373DD276">
      <w:pPr>
        <w:pStyle w:val="29"/>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10-12月累计处理事件40件，SLA达成率为100%。2025年度SLA达成率均满足KPI指标要求。SLA达成率有所上升，在下一阶段的服务过程中应继续保持。</w:t>
      </w:r>
    </w:p>
    <w:p w14:paraId="1436206C">
      <w:pPr>
        <w:pStyle w:val="30"/>
        <w:bidi w:val="0"/>
        <w:rPr>
          <w:rFonts w:hint="eastAsia"/>
          <w:lang w:val="en-US" w:eastAsia="zh-CN"/>
        </w:rPr>
      </w:pPr>
      <w:bookmarkStart w:id="6" w:name="_Toc17773"/>
      <w:r>
        <w:rPr>
          <w:rFonts w:hint="eastAsia"/>
          <w:lang w:val="en-US" w:eastAsia="zh-CN"/>
        </w:rPr>
        <w:t>内审</w:t>
      </w:r>
      <w:bookmarkEnd w:id="6"/>
    </w:p>
    <w:p w14:paraId="36355003">
      <w:pPr>
        <w:pStyle w:val="29"/>
        <w:rPr>
          <w:rFonts w:hint="default"/>
          <w:lang w:val="en-US" w:eastAsia="zh-CN"/>
        </w:rPr>
      </w:pPr>
      <w:r>
        <w:rPr>
          <w:rFonts w:hint="eastAsia"/>
          <w:lang w:val="en-US" w:eastAsia="zh-CN"/>
        </w:rPr>
        <w:t>质量部于2025年12月10日制定了内审计划。12月15-16编制了内审检查表并进行了两天内审工作，发现了一项不符合，为一般不符合。由相关部门进行改进并加强培训工作，相关审核人员跟进改进结果。经过跟踪，不符合项已经整改</w:t>
      </w:r>
    </w:p>
    <w:p w14:paraId="1EFFFA1D">
      <w:pPr>
        <w:pStyle w:val="30"/>
        <w:bidi w:val="0"/>
        <w:rPr>
          <w:rFonts w:hint="eastAsia"/>
          <w:lang w:val="en-US" w:eastAsia="zh-CN"/>
        </w:rPr>
      </w:pPr>
      <w:bookmarkStart w:id="7" w:name="_Toc7484"/>
      <w:r>
        <w:rPr>
          <w:rFonts w:hint="eastAsia"/>
          <w:lang w:val="en-US" w:eastAsia="zh-CN"/>
        </w:rPr>
        <w:t>管理评审</w:t>
      </w:r>
      <w:bookmarkEnd w:id="7"/>
    </w:p>
    <w:p w14:paraId="06955757">
      <w:pPr>
        <w:pStyle w:val="27"/>
        <w:spacing w:before="183" w:line="340" w:lineRule="auto"/>
        <w:ind w:left="118" w:right="129" w:firstLine="481"/>
        <w:rPr>
          <w:rFonts w:hint="default"/>
          <w:lang w:val="en-US" w:eastAsia="zh-CN"/>
        </w:rPr>
      </w:pPr>
      <w:r>
        <w:rPr>
          <w:rStyle w:val="42"/>
          <w:rFonts w:hint="eastAsia"/>
          <w:lang w:val="en-US" w:eastAsia="zh-CN"/>
        </w:rPr>
        <w:t>质量部于2025年12月13日制定了管理评审计划，于12月20日组织各运维相关部门进行了管理评审。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肯定了2025年运维服务工作成果。</w:t>
      </w:r>
    </w:p>
    <w:p w14:paraId="74970222">
      <w:pPr>
        <w:pStyle w:val="30"/>
        <w:bidi w:val="0"/>
        <w:rPr>
          <w:rFonts w:hint="default"/>
          <w:lang w:val="en-US" w:eastAsia="zh-CN"/>
        </w:rPr>
      </w:pPr>
      <w:bookmarkStart w:id="8" w:name="_Toc13678"/>
      <w:r>
        <w:rPr>
          <w:rFonts w:hint="eastAsia"/>
          <w:lang w:val="en-US" w:eastAsia="zh-CN"/>
        </w:rPr>
        <w:t>问题与改进</w:t>
      </w:r>
      <w:bookmarkEnd w:id="8"/>
    </w:p>
    <w:p w14:paraId="4734CC9A">
      <w:pPr>
        <w:pStyle w:val="29"/>
        <w:bidi w:val="0"/>
      </w:pPr>
      <w:r>
        <w:rPr>
          <w:rFonts w:hint="eastAsia"/>
          <w:lang w:val="en-US" w:eastAsia="zh-CN"/>
        </w:rPr>
        <w:t>运维部</w:t>
      </w:r>
      <w:r>
        <w:t>人员对ITSS相关标准的理解不够深刻，可能导致部分潜在问题，给体系的运行造成一定的制约和影响。</w:t>
      </w:r>
    </w:p>
    <w:p w14:paraId="59F77B7C">
      <w:pPr>
        <w:pStyle w:val="29"/>
        <w:bidi w:val="0"/>
      </w:pPr>
      <w:r>
        <w:t>部分质量</w:t>
      </w:r>
      <w:r>
        <w:rPr>
          <w:rFonts w:hint="eastAsia"/>
          <w:lang w:val="en-US" w:eastAsia="zh-CN"/>
        </w:rPr>
        <w:t>管理专员</w:t>
      </w:r>
      <w:r>
        <w:t>缺少信息系统运维服务业务的专业知识，对业务的认识和理解不够，给运维项目的质量管理带来一定的困难。</w:t>
      </w:r>
    </w:p>
    <w:p w14:paraId="053F5390">
      <w:pPr>
        <w:pStyle w:val="29"/>
        <w:bidi w:val="0"/>
      </w:pPr>
      <w:r>
        <w:rPr>
          <w:rFonts w:hint="eastAsia"/>
          <w:lang w:val="en-US" w:eastAsia="zh-CN"/>
        </w:rPr>
        <w:t>运维部在进行</w:t>
      </w:r>
      <w:r>
        <w:t>项目策划时，缺少对运维项目风险的识别、分析、评估等策划。</w:t>
      </w:r>
    </w:p>
    <w:p w14:paraId="7E75725D">
      <w:pPr>
        <w:pStyle w:val="29"/>
        <w:bidi w:val="0"/>
        <w:rPr>
          <w:rFonts w:hint="eastAsia"/>
          <w:lang w:val="en-US" w:eastAsia="zh-CN"/>
        </w:rPr>
      </w:pPr>
      <w:r>
        <w:rPr>
          <w:rFonts w:hint="eastAsia"/>
          <w:lang w:val="en-US" w:eastAsia="zh-CN"/>
        </w:rPr>
        <w:t>针对存在的问题，下一阶段公司计划通过采取以下方式进行改进：</w:t>
      </w:r>
    </w:p>
    <w:p w14:paraId="5C8234CE">
      <w:pPr>
        <w:pStyle w:val="29"/>
        <w:numPr>
          <w:ilvl w:val="0"/>
          <w:numId w:val="2"/>
        </w:numPr>
        <w:bidi w:val="0"/>
        <w:ind w:left="425" w:leftChars="0" w:hanging="425" w:firstLineChars="0"/>
      </w:pPr>
      <w:r>
        <w:t>通过外聘讲师、参加外训、内部知识竞赛、内部讨论会等的培训方式，使质量管理人员对 ITSS 相关标准有更深刻的理解了认识,以便更好的指导质量工作。</w:t>
      </w:r>
    </w:p>
    <w:p w14:paraId="4D742052">
      <w:pPr>
        <w:pStyle w:val="29"/>
        <w:numPr>
          <w:ilvl w:val="0"/>
          <w:numId w:val="2"/>
        </w:numPr>
        <w:bidi w:val="0"/>
        <w:ind w:left="425" w:leftChars="0" w:hanging="425" w:firstLineChars="0"/>
      </w:pPr>
      <w:r>
        <w:t>邀请公司运维部相关运维工程师，对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26635BDC">
      <w:pPr>
        <w:pStyle w:val="29"/>
        <w:numPr>
          <w:ilvl w:val="0"/>
          <w:numId w:val="2"/>
        </w:numPr>
        <w:bidi w:val="0"/>
        <w:ind w:left="425" w:leftChars="0" w:hanging="425" w:firstLineChars="0"/>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702C7">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C12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1444</Words>
  <Characters>1667</Characters>
  <Lines>0</Lines>
  <Paragraphs>0</Paragraphs>
  <TotalTime>3</TotalTime>
  <ScaleCrop>false</ScaleCrop>
  <LinksUpToDate>false</LinksUpToDate>
  <CharactersWithSpaces>1703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2026-03-22T10:27:19Z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