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75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8473"/>
      <w:r>
        <w:rPr>
          <w:rFonts w:hint="eastAsia"/>
          <w:lang w:val="en-US" w:eastAsia="zh-CN"/>
        </w:rPr>
        <w:t>2026年度运维服务质量管理计划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_Toc18751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2026年度运维服务质量管理计划</w:t>
          </w:r>
          <w:r>
            <w:tab/>
          </w:r>
          <w:r>
            <w:fldChar w:fldCharType="begin"/>
          </w:r>
          <w:r>
            <w:instrText xml:space="preserve"> PAGEREF _Toc28473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计划目的</w:t>
          </w:r>
          <w:r>
            <w:tab/>
          </w:r>
          <w:r>
            <w:fldChar w:fldCharType="begin"/>
          </w:r>
          <w:r>
            <w:instrText xml:space="preserve"> PAGEREF _Toc11098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_Toc27513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2025年质量管理工作回顾</w:t>
          </w:r>
          <w:r>
            <w:tab/>
          </w:r>
          <w:r>
            <w:fldChar w:fldCharType="begin"/>
          </w:r>
          <w:r>
            <w:instrText xml:space="preserve"> PAGEREF _Toc4490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2025年主要成果</w:t>
          </w:r>
          <w:r>
            <w:tab/>
          </w:r>
          <w:r>
            <w:fldChar w:fldCharType="begin"/>
          </w:r>
          <w:r>
            <w:instrText xml:space="preserve"> PAGEREF _Toc24633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2025年存在的主要问题</w:t>
          </w:r>
          <w:r>
            <w:tab/>
          </w:r>
          <w:r>
            <w:fldChar w:fldCharType="begin"/>
          </w:r>
          <w:r>
            <w:instrText xml:space="preserve"> PAGEREF _Toc5367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2026年质量管理目标</w:t>
          </w:r>
          <w:r>
            <w:tab/>
          </w:r>
          <w:r>
            <w:fldChar w:fldCharType="begin"/>
          </w:r>
          <w:r>
            <w:instrText xml:space="preserve"> PAGEREF _Toc10767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总体目标</w:t>
          </w:r>
          <w:r>
            <w:tab/>
          </w:r>
          <w:r>
            <w:fldChar w:fldCharType="begin"/>
          </w:r>
          <w:r>
            <w:instrText xml:space="preserve"> PAGEREF _Toc20414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2026年主要质量保证活动</w:t>
          </w:r>
          <w:r>
            <w:tab/>
          </w:r>
          <w:r>
            <w:fldChar w:fldCharType="begin"/>
          </w:r>
          <w:r>
            <w:instrText xml:space="preserve"> PAGEREF _Toc29435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客户满意度管理</w:t>
          </w:r>
          <w:r>
            <w:tab/>
          </w:r>
          <w:r>
            <w:fldChar w:fldCharType="begin"/>
          </w:r>
          <w:r>
            <w:instrText xml:space="preserve"> PAGEREF _Toc17109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质量过程监控</w:t>
          </w:r>
          <w:r>
            <w:tab/>
          </w:r>
          <w:r>
            <w:fldChar w:fldCharType="begin"/>
          </w:r>
          <w:r>
            <w:instrText xml:space="preserve"> PAGEREF _Toc840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内部审核</w:t>
          </w:r>
          <w:r>
            <w:tab/>
          </w:r>
          <w:r>
            <w:fldChar w:fldCharType="begin"/>
          </w:r>
          <w:r>
            <w:instrText xml:space="preserve"> PAGEREF _Toc23514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管理评审</w:t>
          </w:r>
          <w:r>
            <w:tab/>
          </w:r>
          <w:r>
            <w:fldChar w:fldCharType="begin"/>
          </w:r>
          <w:r>
            <w:instrText xml:space="preserve"> PAGEREF _Toc18068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持续改进管理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5.6. 质量培训与文化建设</w:t>
          </w:r>
          <w:r>
            <w:tab/>
          </w:r>
          <w:r>
            <w:fldChar w:fldCharType="begin"/>
          </w:r>
          <w:r>
            <w:instrText xml:space="preserve"> PAGEREF _Toc3581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资源保障</w:t>
          </w:r>
          <w:r>
            <w:tab/>
          </w:r>
          <w:r>
            <w:fldChar w:fldCharType="begin"/>
          </w:r>
          <w:r>
            <w:instrText xml:space="preserve"> PAGEREF _Toc4772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人员保障</w:t>
          </w:r>
          <w:r>
            <w:tab/>
          </w:r>
          <w:r>
            <w:fldChar w:fldCharType="begin"/>
          </w:r>
          <w:r>
            <w:instrText xml:space="preserve"> PAGEREF _Toc8381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工具保障</w:t>
          </w:r>
          <w:r>
            <w:tab/>
          </w:r>
          <w:r>
            <w:fldChar w:fldCharType="begin"/>
          </w:r>
          <w:r>
            <w:instrText xml:space="preserve"> PAGEREF _Toc3761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预算保障</w:t>
          </w:r>
          <w:r>
            <w:tab/>
          </w:r>
          <w:r>
            <w:fldChar w:fldCharType="begin"/>
          </w:r>
          <w:r>
            <w:instrText xml:space="preserve"> PAGEREF _Toc30411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附件</w:t>
          </w:r>
          <w:r>
            <w:tab/>
          </w:r>
          <w:r>
            <w:fldChar w:fldCharType="begin"/>
          </w:r>
          <w:r>
            <w:instrText xml:space="preserve"> PAGEREF _Toc30867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1098"/>
      <w:r>
        <w:rPr>
          <w:rFonts w:hint="default"/>
          <w:lang w:val="en-US" w:eastAsia="zh-CN"/>
        </w:rPr>
        <w:t>计划目的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提升公司运维服务质量，系统性地规划与执行2026年度运维服务过程及项目的质量保证活动，确保各项活动获得充分资源并有效实施，依据ITSS运维服务能力成熟度三级要求，结合2025年质量管理工作总结与改进经验，特制定本计划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本计划旨在通过多层级检查与审计，保障运维服务满足客户质量要求与SLA承诺，识别服务过程中的缺陷与改进机会，驱动服务质量持续提升，最终实现客户满意度的稳步提高。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7513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本计划适用于公司所有运维服务过程及项目所涉及的质量管理活动，涵盖运维部、技术研发部、综合管理部、采购部等相关部门。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4490"/>
      <w:r>
        <w:rPr>
          <w:rFonts w:hint="default"/>
          <w:lang w:val="en-US" w:eastAsia="zh-CN"/>
        </w:rPr>
        <w:t>2025年质量管理工作回顾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4633"/>
      <w:r>
        <w:rPr>
          <w:rFonts w:hint="default"/>
          <w:lang w:val="en-US" w:eastAsia="zh-CN"/>
        </w:rPr>
        <w:t>2025年主要成果</w:t>
      </w:r>
      <w:bookmarkEnd w:id="6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2"/>
        <w:gridCol w:w="3870"/>
        <w:gridCol w:w="23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2025年达成情况</w:t>
            </w:r>
          </w:p>
        </w:tc>
        <w:tc>
          <w:tcPr>
            <w:tcW w:w="23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评价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客户满意度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94.64%-96.59%（≥90%）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达标且持续上升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SLA达成率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95%-100%（≥95%）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事件响应及时率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100%（≥95%）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超额达标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事件按时解决率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90%-100%（≥90%）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问题解决率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95%-100%（≥95%）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内审完成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1次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3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管理评审完成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1次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达标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5367"/>
      <w:r>
        <w:rPr>
          <w:rFonts w:hint="default"/>
          <w:lang w:val="en-US" w:eastAsia="zh-CN"/>
        </w:rPr>
        <w:t>2025年存在的主要问题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第二季度配置准确率未达标（85%），未达到≥99%的目标，主要原因是新增网络设备配置项关联关系复杂，部分配置项变更后未及时更新关联信息。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个别工单响应时间略超SLA（2次超过15分钟），虽未造成重大影响，但反映出值班排班机制有待优化。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备份恢复脚本部分操作依赖手工，影响恢复效率，需实现自动化。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应急通讯录未包含夜间值班人员联系方式，需完善。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安全日志深度分析能力不足，难以主动发现隐蔽威胁。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0767"/>
      <w:r>
        <w:rPr>
          <w:rFonts w:hint="default"/>
          <w:lang w:val="en-US" w:eastAsia="zh-CN"/>
        </w:rPr>
        <w:t>2026年质量管理目标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0414"/>
      <w:r>
        <w:rPr>
          <w:rFonts w:hint="default"/>
          <w:lang w:val="en-US" w:eastAsia="zh-CN"/>
        </w:rPr>
        <w:t>总体目标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持续保持：继续保持2025年各项质量指标的优良水平。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短板提升：重点改进2025年暴露的薄弱环节（配置管理、响应时效、自动化水平）。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体系深化：将质量管理工作从“符合性”向“有效性”深化，推动质量数据驱动决策。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9435"/>
      <w:r>
        <w:rPr>
          <w:rFonts w:hint="default"/>
          <w:lang w:val="en-US" w:eastAsia="zh-CN"/>
        </w:rPr>
        <w:t>2026年主要质量保证活动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7109"/>
      <w:r>
        <w:rPr>
          <w:rFonts w:hint="default"/>
          <w:lang w:val="en-US" w:eastAsia="zh-CN"/>
        </w:rPr>
        <w:t>客户满意度管理</w:t>
      </w:r>
      <w:bookmarkEnd w:id="11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672"/>
        <w:gridCol w:w="1451"/>
        <w:gridCol w:w="1703"/>
        <w:gridCol w:w="204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时间安排</w:t>
            </w:r>
          </w:p>
        </w:tc>
        <w:tc>
          <w:tcPr>
            <w:tcW w:w="20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客户满意度调查计划制定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服务台专员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2026.3/6/9/12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《满意度调查计划》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客户满意度调查实施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服务台专员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2026.3/6/9/12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《满意度调查结果》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满意度调查结果分析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2026.3/6/9/12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《满意度调查报告》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</w:t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低分项改进措施跟踪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持续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《改进跟踪记录》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每季度满意度调查后，对低于90分的项目进行专项复盘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针对“运维管理”维度，加强运维工程师专业技能培训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增加重点客户深度访谈，每半年不少于1次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840"/>
      <w:r>
        <w:rPr>
          <w:rFonts w:hint="default"/>
          <w:lang w:val="en-US" w:eastAsia="zh-CN"/>
        </w:rPr>
        <w:t>质量过程监控</w:t>
      </w:r>
      <w:bookmarkEnd w:id="12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"/>
        <w:gridCol w:w="2172"/>
        <w:gridCol w:w="1530"/>
        <w:gridCol w:w="1548"/>
        <w:gridCol w:w="258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时间安排</w:t>
            </w:r>
          </w:p>
        </w:tc>
        <w:tc>
          <w:tcPr>
            <w:tcW w:w="25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月度质量指标统计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每月5日前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《月度质量指标统计表》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月度质量分析会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每月10日前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《月度质量分析报告》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季度质量回顾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季度末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《季度质量回顾报告》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5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年度质量总结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2026.12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《年度质量管理报告》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优化质量指标数据采集自动化程度，减少人工统计误差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建立质量指标趋势预警机制，提前发现潜在问题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3514"/>
      <w:r>
        <w:rPr>
          <w:rFonts w:hint="default"/>
          <w:lang w:val="en-US" w:eastAsia="zh-CN"/>
        </w:rPr>
        <w:t>内部审核</w:t>
      </w:r>
      <w:bookmarkEnd w:id="13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1868"/>
        <w:gridCol w:w="1458"/>
        <w:gridCol w:w="1254"/>
        <w:gridCol w:w="328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时间安排</w:t>
            </w:r>
          </w:p>
        </w:tc>
        <w:tc>
          <w:tcPr>
            <w:tcW w:w="32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内审计划制定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2026.11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《内审计划》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内审检查表编制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2026.11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《内审检查表》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内审实施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内审组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2026.12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《内审不符合报告》《内审报告》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内审覆盖范围扩展至新增的运维工具和研发过程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增加专项内审（如配置管理专项、信息安全专项）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8068"/>
      <w:r>
        <w:rPr>
          <w:rFonts w:hint="default"/>
          <w:lang w:val="en-US" w:eastAsia="zh-CN"/>
        </w:rPr>
        <w:t>管理评审</w:t>
      </w:r>
      <w:bookmarkEnd w:id="14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2357"/>
        <w:gridCol w:w="1892"/>
        <w:gridCol w:w="1426"/>
        <w:gridCol w:w="210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时间安排</w:t>
            </w:r>
          </w:p>
        </w:tc>
        <w:tc>
          <w:tcPr>
            <w:tcW w:w="21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管理评审计划制定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2026.12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《管理评审计划》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管评输入准备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各部门负责人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2026.12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各部门输入报告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管理评审会议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管理者代表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2026.12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《管理评审报告》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管评输入增加“2025年改进措施跟踪情况”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管评输出增加“2027年质量提升专项计划”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8838"/>
      <w:r>
        <w:rPr>
          <w:rFonts w:hint="default"/>
          <w:lang w:val="en-US" w:eastAsia="zh-CN"/>
        </w:rPr>
        <w:t>持续改进管理</w:t>
      </w:r>
      <w:bookmarkEnd w:id="15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8"/>
        <w:gridCol w:w="2393"/>
        <w:gridCol w:w="1533"/>
        <w:gridCol w:w="1533"/>
        <w:gridCol w:w="237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活动内容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时间安排</w:t>
            </w:r>
          </w:p>
        </w:tc>
        <w:tc>
          <w:tcPr>
            <w:tcW w:w="237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输出要求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改进机会识别与记录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各部门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持续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《改进机会识别记录》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改进措施制定与实施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按计划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《改进措施实施记录》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改进效果验证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质量部经理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措施完成后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《改进效果验证记录》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2026年重点改进计划：</w:t>
      </w:r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459"/>
        <w:gridCol w:w="4025"/>
        <w:gridCol w:w="1109"/>
        <w:gridCol w:w="129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14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待改进内容</w:t>
            </w:r>
          </w:p>
        </w:tc>
        <w:tc>
          <w:tcPr>
            <w:tcW w:w="40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改进措施</w:t>
            </w:r>
          </w:p>
        </w:tc>
        <w:tc>
          <w:tcPr>
            <w:tcW w:w="110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责任部门</w:t>
            </w:r>
          </w:p>
        </w:tc>
        <w:tc>
          <w:tcPr>
            <w:tcW w:w="12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计划完成时间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配置准确率提升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建立配置变更自动同步机制，每月开展配置审计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2026年6月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工单响应时效优化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优化值班排班机制，增加备班人员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2026年3月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备份恢复自动化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优化备份恢复脚本，实现一键化恢复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技术研发部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2026年6月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应急通讯完善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更新应急通讯录，增加24小时值班联系方式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服务台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2026年2月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安全日志分析能力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调研并引入日志智能分析（UEBA）功能模块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2026年12月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第三方组件安全管理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建立软件物料清单（SBOM），制定第三方组件定期更新与评估流程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技术研发部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2026年6月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6" w:name="_Toc3581"/>
      <w:r>
        <w:rPr>
          <w:rFonts w:hint="default"/>
          <w:lang w:val="en-US" w:eastAsia="zh-CN"/>
        </w:rPr>
        <w:t>质量培训与文化建设</w:t>
      </w:r>
      <w:bookmarkEnd w:id="16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2913"/>
        <w:gridCol w:w="2026"/>
        <w:gridCol w:w="1516"/>
        <w:gridCol w:w="136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培训主题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培训对象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计划时间</w:t>
            </w:r>
          </w:p>
        </w:tc>
        <w:tc>
          <w:tcPr>
            <w:tcW w:w="13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培训方式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ITSS标准深化培训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运维部、质量部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2026年3月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外聘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配置管理专项培训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2026年4月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信息安全意识培训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全体员工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2026年5月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客户沟通与投诉处理技巧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服务台、运维部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2026年6月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角色扮演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质量数据分析方法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质量部、运维部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2026年8月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6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应急响应实战演练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2026年9月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实战演练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4772"/>
      <w:r>
        <w:rPr>
          <w:rFonts w:hint="default"/>
          <w:lang w:val="en-US" w:eastAsia="zh-CN"/>
        </w:rPr>
        <w:t>资源保障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8381"/>
      <w:r>
        <w:rPr>
          <w:rFonts w:hint="default"/>
          <w:lang w:val="en-US" w:eastAsia="zh-CN"/>
        </w:rPr>
        <w:t>人员保障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质量部保持现有人员配置，必要时增配质量管理专员1名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运维部指定专人负责质量数据统计与分析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综合管理部保障培训资源与绩效考核支持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761"/>
      <w:r>
        <w:rPr>
          <w:rFonts w:hint="default"/>
          <w:lang w:val="en-US" w:eastAsia="zh-CN"/>
        </w:rPr>
        <w:t>工具保障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继续使用禅道过程管理工具进行质量数据采集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优化质量报表自动生成功能，减少手工统计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调研引入质量数据分析工具（如BI报表）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0411"/>
      <w:r>
        <w:rPr>
          <w:rFonts w:hint="default"/>
          <w:lang w:val="en-US" w:eastAsia="zh-CN"/>
        </w:rPr>
        <w:t>预算保障</w:t>
      </w:r>
      <w:bookmarkEnd w:id="20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377"/>
        <w:gridCol w:w="405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预算（万元）</w:t>
            </w:r>
          </w:p>
        </w:tc>
        <w:tc>
          <w:tcPr>
            <w:tcW w:w="40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外部培训费用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3.0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ITSS深化培训、数据分析培训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质量工具优化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1.5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禅道报表功能开发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安全工具引入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5.0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日志智能分析（UEBA）模块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应急演练费用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1.0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演练物资、场地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合计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10.5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1" w:name="_Toc30867"/>
      <w:r>
        <w:rPr>
          <w:rFonts w:hint="default"/>
          <w:lang w:val="en-US" w:eastAsia="zh-CN"/>
        </w:rPr>
        <w:t>附件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《2026年质量活动时间表》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《2026年改进计划跟踪表》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《2026年质量培训计划表》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1826</Words>
  <Characters>2094</Characters>
  <Application>Microsoft Office Word</Application>
  <DocSecurity>0</DocSecurity>
  <Lines>0</Lines>
  <Paragraphs>0</Paragraphs>
  <ScaleCrop>false</ScaleCrop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2026-03-21T10:10:31Z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