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8825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0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7C8F9A1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2230"/>
      <w:r>
        <w:rPr>
          <w:rFonts w:hint="eastAsia"/>
          <w:lang w:val="en-US" w:eastAsia="zh-CN"/>
        </w:rPr>
        <w:t>2025年度人员管理计划</w:t>
      </w:r>
      <w:bookmarkEnd w:id="1"/>
    </w:p>
    <w:p w14:paraId="3D78D8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86CD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26F48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2D406E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938E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148E7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9AC32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D25B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53EA2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102188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EA96C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826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8BB5E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CB7B2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4AF9D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20CD4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19D56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F69ED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1DB14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1F7E7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B767A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D95CF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67227D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CC30B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2AA9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88252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BD5ED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88E41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29153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FE38E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EDE91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BC13D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D5E9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3AB9D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AAAE5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D1ECB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50CB0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AF81A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B9AB26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8FEDB1">
          <w:pPr>
            <w:pStyle w:val="16"/>
            <w:tabs>
              <w:tab w:val="right" w:leader="dot" w:pos="8306"/>
            </w:tabs>
          </w:pPr>
          <w:bookmarkStart w:id="26" w:name="_GoBack"/>
          <w:bookmarkEnd w:id="2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_Toc15603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54BD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2025年度人员管理计划</w:t>
          </w:r>
          <w:r>
            <w:tab/>
          </w:r>
          <w:r>
            <w:fldChar w:fldCharType="begin"/>
          </w:r>
          <w:r>
            <w:instrText xml:space="preserve"> PAGEREF _Toc32230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74F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公司现状与规划</w:t>
          </w:r>
          <w:r>
            <w:tab/>
          </w:r>
          <w:r>
            <w:fldChar w:fldCharType="begin"/>
          </w:r>
          <w:r>
            <w:instrText xml:space="preserve"> PAGEREF _Toc11049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DCC5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_Toc27895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F75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人员招聘管理计划</w:t>
          </w:r>
          <w:r>
            <w:tab/>
          </w:r>
          <w:r>
            <w:fldChar w:fldCharType="begin"/>
          </w:r>
          <w:r>
            <w:instrText xml:space="preserve"> PAGEREF _Toc15609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3F860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_Toc30240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A1EE3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_Toc21205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7258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人员储备管理计划</w:t>
          </w:r>
          <w:r>
            <w:tab/>
          </w:r>
          <w:r>
            <w:fldChar w:fldCharType="begin"/>
          </w:r>
          <w:r>
            <w:instrText xml:space="preserve"> PAGEREF _Toc22829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EF5DC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F34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_Toc24754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A5BD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人员培训管理计划</w:t>
          </w:r>
          <w:r>
            <w:tab/>
          </w:r>
          <w:r>
            <w:fldChar w:fldCharType="begin"/>
          </w:r>
          <w:r>
            <w:instrText xml:space="preserve"> PAGEREF _Toc13308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C0027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85C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_Toc8604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87D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人员绩效考核管理计划</w:t>
          </w:r>
          <w:r>
            <w:tab/>
          </w:r>
          <w:r>
            <w:fldChar w:fldCharType="begin"/>
          </w:r>
          <w:r>
            <w:instrText xml:space="preserve"> PAGEREF _Toc14621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4A595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_Toc5547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9E54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_Toc20923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3A4B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人员技能评定管理计划</w:t>
          </w:r>
          <w:r>
            <w:tab/>
          </w:r>
          <w:r>
            <w:fldChar w:fldCharType="begin"/>
          </w:r>
          <w:r>
            <w:instrText xml:space="preserve"> PAGEREF _Toc14222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A452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70C4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_Toc19742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E64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人员备份管理计划</w:t>
          </w:r>
          <w:r>
            <w:tab/>
          </w:r>
          <w:r>
            <w:fldChar w:fldCharType="begin"/>
          </w:r>
          <w:r>
            <w:instrText xml:space="preserve"> PAGEREF _Toc14557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45793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5573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_Toc21522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B3F35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资源保障</w:t>
          </w:r>
          <w:r>
            <w:tab/>
          </w:r>
          <w:r>
            <w:fldChar w:fldCharType="begin"/>
          </w:r>
          <w:r>
            <w:instrText xml:space="preserve"> PAGEREF _Toc24626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9D2E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人员保障</w:t>
          </w:r>
          <w:r>
            <w:tab/>
          </w:r>
          <w:r>
            <w:fldChar w:fldCharType="begin"/>
          </w:r>
          <w:r>
            <w:instrText xml:space="preserve"> PAGEREF _Toc21630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9B56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经费保障</w:t>
          </w:r>
          <w:r>
            <w:tab/>
          </w:r>
          <w:r>
            <w:fldChar w:fldCharType="begin"/>
          </w:r>
          <w:r>
            <w:instrText xml:space="preserve"> PAGEREF _Toc27328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95F58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12A9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1A3EB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1049"/>
      <w:r>
        <w:rPr>
          <w:rFonts w:hint="eastAsia"/>
          <w:lang w:val="en-US" w:eastAsia="zh-CN"/>
        </w:rPr>
        <w:t>公司现状与规划</w:t>
      </w:r>
      <w:bookmarkEnd w:id="2"/>
    </w:p>
    <w:p w14:paraId="5AD9AD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人员管理计划的核心目标是 “稳健扩容，赋能转型” 。计划将团队总规模从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人扩充至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人，在控制成本的同时，精准补充关键岗位人才，初步形成运维服务业务的交付与研发能力，并建立现代化的人力资源管理流程，为公司战略转型奠定坚实的人才基础。</w:t>
      </w:r>
    </w:p>
    <w:p w14:paraId="32A6BB6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895"/>
      <w:r>
        <w:rPr>
          <w:rFonts w:hint="eastAsia"/>
          <w:lang w:val="en-US" w:eastAsia="zh-CN"/>
        </w:rPr>
        <w:t>人员管理计划</w:t>
      </w:r>
      <w:bookmarkEnd w:id="3"/>
    </w:p>
    <w:p w14:paraId="614AA6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609"/>
      <w:r>
        <w:rPr>
          <w:rFonts w:hint="eastAsia"/>
          <w:lang w:val="en-US" w:eastAsia="zh-CN"/>
        </w:rPr>
        <w:t>人员招聘管理计划</w:t>
      </w:r>
      <w:bookmarkEnd w:id="4"/>
    </w:p>
    <w:p w14:paraId="24CCC6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0240"/>
      <w:r>
        <w:rPr>
          <w:rFonts w:hint="eastAsia"/>
          <w:lang w:val="en-US" w:eastAsia="zh-CN"/>
        </w:rPr>
        <w:t>目的</w:t>
      </w:r>
      <w:bookmarkEnd w:id="5"/>
    </w:p>
    <w:p w14:paraId="2397BC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支撑公司向IT运维服务的战略转型，解决当前团队规模与能力不足的核心矛盾，本招聘计划旨在通过分季度、有重点地引入关键岗位人才，系统性构建公司的技术服务交付、产品研发与质量管理体系，确保人才供给与业务发展节奏精准匹配。</w:t>
      </w:r>
    </w:p>
    <w:p w14:paraId="6E4A4BB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1205"/>
      <w:r>
        <w:rPr>
          <w:rFonts w:hint="eastAsia"/>
          <w:lang w:val="en-US" w:eastAsia="zh-CN"/>
        </w:rPr>
        <w:t>实际内容</w:t>
      </w:r>
      <w:bookmarkEnd w:id="6"/>
    </w:p>
    <w:p w14:paraId="243173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根据公司实际业务发展需要进行招聘。</w:t>
      </w:r>
    </w:p>
    <w:p w14:paraId="589B00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招聘计划，如表2-1所示</w:t>
      </w:r>
    </w:p>
    <w:p w14:paraId="35CD13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954"/>
        <w:gridCol w:w="1704"/>
        <w:gridCol w:w="1705"/>
        <w:gridCol w:w="1705"/>
      </w:tblGrid>
      <w:tr w14:paraId="7108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746AA9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954" w:type="dxa"/>
          </w:tcPr>
          <w:p w14:paraId="61390C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704" w:type="dxa"/>
          </w:tcPr>
          <w:p w14:paraId="6A4A03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705" w:type="dxa"/>
          </w:tcPr>
          <w:p w14:paraId="2FEE3B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05" w:type="dxa"/>
          </w:tcPr>
          <w:p w14:paraId="7EC6A9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0B58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33D41E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61D526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954" w:type="dxa"/>
          </w:tcPr>
          <w:p w14:paraId="74880C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</w:tcPr>
          <w:p w14:paraId="19690E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138159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05" w:type="dxa"/>
          </w:tcPr>
          <w:p w14:paraId="2A990A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538D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</w:tcPr>
          <w:p w14:paraId="77B3FB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F1A8F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954" w:type="dxa"/>
          </w:tcPr>
          <w:p w14:paraId="1109A9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04" w:type="dxa"/>
          </w:tcPr>
          <w:p w14:paraId="1DA4A7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705" w:type="dxa"/>
          </w:tcPr>
          <w:p w14:paraId="1598E3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7181CA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 w14:paraId="1D49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</w:tcPr>
          <w:p w14:paraId="151D8F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</w:tcPr>
          <w:p w14:paraId="2EFFB4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704" w:type="dxa"/>
          </w:tcPr>
          <w:p w14:paraId="4E0C2A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570001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3F0BB1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50F2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</w:tcPr>
          <w:p w14:paraId="428050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53A8C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954" w:type="dxa"/>
          </w:tcPr>
          <w:p w14:paraId="3E099C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</w:tcPr>
          <w:p w14:paraId="046B0A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29FFC8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2F20F1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51A1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</w:tcPr>
          <w:p w14:paraId="709EF9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</w:tcPr>
          <w:p w14:paraId="6639AA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704" w:type="dxa"/>
          </w:tcPr>
          <w:p w14:paraId="4717DF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705" w:type="dxa"/>
          </w:tcPr>
          <w:p w14:paraId="33D437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7B17E0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  <w:tr w14:paraId="3C21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3115CF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57B3A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954" w:type="dxa"/>
          </w:tcPr>
          <w:p w14:paraId="558DCF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4" w:type="dxa"/>
          </w:tcPr>
          <w:p w14:paraId="21B6E1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</w:tcPr>
          <w:p w14:paraId="56F46F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</w:tcPr>
          <w:p w14:paraId="633CEE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606068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558B8D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2829"/>
      <w:r>
        <w:rPr>
          <w:rFonts w:hint="eastAsia"/>
          <w:lang w:val="en-US" w:eastAsia="zh-CN"/>
        </w:rPr>
        <w:t>人员储备管理计划</w:t>
      </w:r>
      <w:bookmarkEnd w:id="7"/>
    </w:p>
    <w:p w14:paraId="4899987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4592"/>
      <w:r>
        <w:rPr>
          <w:rFonts w:hint="eastAsia"/>
          <w:lang w:val="en-US" w:eastAsia="zh-CN"/>
        </w:rPr>
        <w:t>目的</w:t>
      </w:r>
      <w:bookmarkEnd w:id="8"/>
    </w:p>
    <w:p w14:paraId="3249F9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关键岗位的人才流失风险，保障业务连续性与稳定性，并为企业长远发展提供可持续的领导力供给，本计划通过识别关键岗位、实施导师制与项目炼金等机制，系统性培养内部后备人才，建立公司的人才梯队。</w:t>
      </w:r>
    </w:p>
    <w:p w14:paraId="1561F16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4754"/>
      <w:r>
        <w:rPr>
          <w:rFonts w:hint="eastAsia"/>
          <w:lang w:val="en-US" w:eastAsia="zh-CN"/>
        </w:rPr>
        <w:t>实际内容</w:t>
      </w:r>
      <w:bookmarkEnd w:id="9"/>
    </w:p>
    <w:p w14:paraId="0CF849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公司人员储备计划如表2-2所示</w:t>
      </w:r>
    </w:p>
    <w:p w14:paraId="06E853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111"/>
        <w:gridCol w:w="1231"/>
        <w:gridCol w:w="3407"/>
        <w:gridCol w:w="920"/>
      </w:tblGrid>
      <w:tr w14:paraId="459D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59FB5E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1111" w:type="dxa"/>
          </w:tcPr>
          <w:p w14:paraId="2CCB80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1231" w:type="dxa"/>
          </w:tcPr>
          <w:p w14:paraId="0B74E3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3407" w:type="dxa"/>
          </w:tcPr>
          <w:p w14:paraId="48EF3E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培训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措施</w:t>
            </w:r>
          </w:p>
        </w:tc>
        <w:tc>
          <w:tcPr>
            <w:tcW w:w="920" w:type="dxa"/>
          </w:tcPr>
          <w:p w14:paraId="74C004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</w:tr>
      <w:tr w14:paraId="1124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2" w:type="dxa"/>
          </w:tcPr>
          <w:p w14:paraId="4C75E7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111" w:type="dxa"/>
          </w:tcPr>
          <w:p w14:paraId="2AA2AC8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1231" w:type="dxa"/>
          </w:tcPr>
          <w:p w14:paraId="77828E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3407" w:type="dxa"/>
          </w:tcPr>
          <w:p w14:paraId="0F2E96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5FF3C1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短期轮岗至技术研发部、质量部，了解全业务链</w:t>
            </w:r>
          </w:p>
          <w:p w14:paraId="3D3EC85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920" w:type="dxa"/>
          </w:tcPr>
          <w:p w14:paraId="46ADCF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</w:tr>
      <w:tr w14:paraId="1313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3D79AF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11" w:type="dxa"/>
          </w:tcPr>
          <w:p w14:paraId="7326D6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231" w:type="dxa"/>
          </w:tcPr>
          <w:p w14:paraId="1FFBCF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3407" w:type="dxa"/>
          </w:tcPr>
          <w:p w14:paraId="6F4ADC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2C4318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111CD5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920" w:type="dxa"/>
          </w:tcPr>
          <w:p w14:paraId="279F51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  <w:tr w14:paraId="277C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5BF231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技术研发部经理</w:t>
            </w:r>
          </w:p>
        </w:tc>
        <w:tc>
          <w:tcPr>
            <w:tcW w:w="1111" w:type="dxa"/>
          </w:tcPr>
          <w:p w14:paraId="7DD150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231" w:type="dxa"/>
          </w:tcPr>
          <w:p w14:paraId="4512A0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3407" w:type="dxa"/>
          </w:tcPr>
          <w:p w14:paraId="6F7691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7F9BFD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273788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920" w:type="dxa"/>
          </w:tcPr>
          <w:p w14:paraId="5ACFE3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</w:tbl>
    <w:p w14:paraId="509EB1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308"/>
      <w:r>
        <w:rPr>
          <w:rFonts w:hint="eastAsia"/>
          <w:lang w:val="en-US" w:eastAsia="zh-CN"/>
        </w:rPr>
        <w:t>人员培训管理计划</w:t>
      </w:r>
      <w:bookmarkEnd w:id="10"/>
    </w:p>
    <w:p w14:paraId="23E27FA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5200"/>
      <w:r>
        <w:rPr>
          <w:rFonts w:hint="eastAsia"/>
          <w:lang w:val="en-US" w:eastAsia="zh-CN"/>
        </w:rPr>
        <w:t>目的</w:t>
      </w:r>
      <w:bookmarkEnd w:id="11"/>
    </w:p>
    <w:p w14:paraId="5B039D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新老员工能快速适应公司战略转型要求，提升整体专业素养与协同效率，本培训计划旨在通过系统性的赋能，统一服务思想、补齐技能短板、培养后备骨干，从而构建一支既能深入专业领域又能协同作战的复合型团队。</w:t>
      </w:r>
    </w:p>
    <w:p w14:paraId="6FE68E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604"/>
      <w:r>
        <w:rPr>
          <w:rFonts w:hint="eastAsia"/>
          <w:lang w:val="en-US" w:eastAsia="zh-CN"/>
        </w:rPr>
        <w:t>实际内容</w:t>
      </w:r>
      <w:bookmarkEnd w:id="12"/>
    </w:p>
    <w:p w14:paraId="77C03D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培训计划，如表2-3所示</w:t>
      </w:r>
    </w:p>
    <w:p w14:paraId="27992E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2935"/>
        <w:gridCol w:w="1516"/>
        <w:gridCol w:w="1516"/>
        <w:gridCol w:w="1310"/>
      </w:tblGrid>
      <w:tr w14:paraId="3A42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42819D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935" w:type="dxa"/>
          </w:tcPr>
          <w:p w14:paraId="6A377E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16" w:type="dxa"/>
          </w:tcPr>
          <w:p w14:paraId="486685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6" w:type="dxa"/>
          </w:tcPr>
          <w:p w14:paraId="70C2B4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310" w:type="dxa"/>
          </w:tcPr>
          <w:p w14:paraId="5378A5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</w:tr>
      <w:tr w14:paraId="7619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09755E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76DC4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2935" w:type="dxa"/>
          </w:tcPr>
          <w:p w14:paraId="555B30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16" w:type="dxa"/>
          </w:tcPr>
          <w:p w14:paraId="69D9C8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</w:tcPr>
          <w:p w14:paraId="14D3D5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10" w:type="dxa"/>
          </w:tcPr>
          <w:p w14:paraId="68A566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7F75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1C72D1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7487C1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16" w:type="dxa"/>
          </w:tcPr>
          <w:p w14:paraId="03C71B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运维部、质量部、综合管理部</w:t>
            </w:r>
          </w:p>
        </w:tc>
        <w:tc>
          <w:tcPr>
            <w:tcW w:w="1516" w:type="dxa"/>
          </w:tcPr>
          <w:p w14:paraId="4B3F6F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10" w:type="dxa"/>
          </w:tcPr>
          <w:p w14:paraId="13FBD3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2D9B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11FA3E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1DB0D4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16" w:type="dxa"/>
          </w:tcPr>
          <w:p w14:paraId="5BE8E6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1516" w:type="dxa"/>
          </w:tcPr>
          <w:p w14:paraId="658A4F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10" w:type="dxa"/>
          </w:tcPr>
          <w:p w14:paraId="7C44DB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</w:tr>
      <w:tr w14:paraId="2353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37BE6B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FED72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2935" w:type="dxa"/>
          </w:tcPr>
          <w:p w14:paraId="3ABAB4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16" w:type="dxa"/>
          </w:tcPr>
          <w:p w14:paraId="53F0AC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516" w:type="dxa"/>
          </w:tcPr>
          <w:p w14:paraId="31A9ED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10" w:type="dxa"/>
          </w:tcPr>
          <w:p w14:paraId="384DF0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3A2D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75C181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3151F8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16" w:type="dxa"/>
          </w:tcPr>
          <w:p w14:paraId="7CB849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</w:t>
            </w:r>
          </w:p>
        </w:tc>
        <w:tc>
          <w:tcPr>
            <w:tcW w:w="1516" w:type="dxa"/>
          </w:tcPr>
          <w:p w14:paraId="3A7DC1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10" w:type="dxa"/>
          </w:tcPr>
          <w:p w14:paraId="432629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7074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68A26E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1A18D3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16" w:type="dxa"/>
          </w:tcPr>
          <w:p w14:paraId="156E70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</w:tcPr>
          <w:p w14:paraId="4186D8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10" w:type="dxa"/>
          </w:tcPr>
          <w:p w14:paraId="1EE925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4936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32720B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2962F6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16" w:type="dxa"/>
          </w:tcPr>
          <w:p w14:paraId="73FFEA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6" w:type="dxa"/>
          </w:tcPr>
          <w:p w14:paraId="68960B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10" w:type="dxa"/>
          </w:tcPr>
          <w:p w14:paraId="3F8163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72F4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1DEB1E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26EDFA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16" w:type="dxa"/>
          </w:tcPr>
          <w:p w14:paraId="2F0F53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6" w:type="dxa"/>
            <w:shd w:val="clear" w:color="auto" w:fill="auto"/>
          </w:tcPr>
          <w:p w14:paraId="207FF3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10" w:type="dxa"/>
          </w:tcPr>
          <w:p w14:paraId="254403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</w:tr>
      <w:tr w14:paraId="10C8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2C80FB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204F51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2935" w:type="dxa"/>
          </w:tcPr>
          <w:p w14:paraId="0B87CE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16" w:type="dxa"/>
          </w:tcPr>
          <w:p w14:paraId="4B842E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516" w:type="dxa"/>
            <w:shd w:val="clear" w:color="auto" w:fill="auto"/>
          </w:tcPr>
          <w:p w14:paraId="4CF0F4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10" w:type="dxa"/>
          </w:tcPr>
          <w:p w14:paraId="20DCE5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</w:tr>
      <w:tr w14:paraId="1BFE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2BF14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348A00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16" w:type="dxa"/>
          </w:tcPr>
          <w:p w14:paraId="7636FE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</w:t>
            </w:r>
          </w:p>
        </w:tc>
        <w:tc>
          <w:tcPr>
            <w:tcW w:w="1516" w:type="dxa"/>
            <w:shd w:val="clear" w:color="auto" w:fill="auto"/>
          </w:tcPr>
          <w:p w14:paraId="243C0A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310" w:type="dxa"/>
          </w:tcPr>
          <w:p w14:paraId="57F07B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6314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090833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7FF9F9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网络安全管理培训</w:t>
            </w:r>
          </w:p>
        </w:tc>
        <w:tc>
          <w:tcPr>
            <w:tcW w:w="1516" w:type="dxa"/>
          </w:tcPr>
          <w:p w14:paraId="7153A7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6" w:type="dxa"/>
            <w:shd w:val="clear" w:color="auto" w:fill="auto"/>
          </w:tcPr>
          <w:p w14:paraId="416EBA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310" w:type="dxa"/>
          </w:tcPr>
          <w:p w14:paraId="579CF0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</w:tr>
      <w:tr w14:paraId="45B6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15C83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41173F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16" w:type="dxa"/>
          </w:tcPr>
          <w:p w14:paraId="0DDB96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运维部、技术研发部、质量部</w:t>
            </w:r>
          </w:p>
        </w:tc>
        <w:tc>
          <w:tcPr>
            <w:tcW w:w="1516" w:type="dxa"/>
            <w:shd w:val="clear" w:color="auto" w:fill="auto"/>
          </w:tcPr>
          <w:p w14:paraId="252395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310" w:type="dxa"/>
          </w:tcPr>
          <w:p w14:paraId="3B36DC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</w:tr>
      <w:tr w14:paraId="6ECF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4F4283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24C1C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935" w:type="dxa"/>
          </w:tcPr>
          <w:p w14:paraId="089EA4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16" w:type="dxa"/>
          </w:tcPr>
          <w:p w14:paraId="52EDEC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  <w:shd w:val="clear" w:color="auto" w:fill="auto"/>
          </w:tcPr>
          <w:p w14:paraId="574582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10" w:type="dxa"/>
          </w:tcPr>
          <w:p w14:paraId="3F5A1B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</w:tr>
      <w:tr w14:paraId="31BE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71169A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3ABACF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16" w:type="dxa"/>
          </w:tcPr>
          <w:p w14:paraId="4B44E6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  <w:shd w:val="clear" w:color="auto" w:fill="auto"/>
          </w:tcPr>
          <w:p w14:paraId="4F2B05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10" w:type="dxa"/>
          </w:tcPr>
          <w:p w14:paraId="7096AE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2663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EAF48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3BD82D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16" w:type="dxa"/>
          </w:tcPr>
          <w:p w14:paraId="1B098C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  <w:shd w:val="clear" w:color="auto" w:fill="auto"/>
          </w:tcPr>
          <w:p w14:paraId="63618F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310" w:type="dxa"/>
          </w:tcPr>
          <w:p w14:paraId="367A7C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</w:tr>
      <w:tr w14:paraId="7E46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7D1B02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6B23B3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16" w:type="dxa"/>
          </w:tcPr>
          <w:p w14:paraId="118C19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516" w:type="dxa"/>
            <w:shd w:val="clear" w:color="auto" w:fill="auto"/>
          </w:tcPr>
          <w:p w14:paraId="5A7F2A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310" w:type="dxa"/>
          </w:tcPr>
          <w:p w14:paraId="514F33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</w:tbl>
    <w:p w14:paraId="6CDFD4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666284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培训保障机制：</w:t>
      </w:r>
    </w:p>
    <w:p w14:paraId="2D9C09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预算支持：公司设立专项培训经费，用于支付外部讲师、课程费用及认证考试费。</w:t>
      </w:r>
    </w:p>
    <w:p w14:paraId="5021EA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效果评估：每次培训后通过问卷或考试进行评估，并要求受训员工进行内部分享，确保知识转化。</w:t>
      </w:r>
    </w:p>
    <w:p w14:paraId="51C251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与绩效挂钩：将培训参与度与完成情况纳入个人年度绩效考核的“能力与行为”维度。</w:t>
      </w:r>
    </w:p>
    <w:p w14:paraId="062334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4621"/>
      <w:r>
        <w:rPr>
          <w:rFonts w:hint="eastAsia"/>
          <w:lang w:val="en-US" w:eastAsia="zh-CN"/>
        </w:rPr>
        <w:t>人员绩效考核管理计划</w:t>
      </w:r>
      <w:bookmarkEnd w:id="13"/>
    </w:p>
    <w:p w14:paraId="7E803D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5547"/>
      <w:r>
        <w:rPr>
          <w:rFonts w:hint="eastAsia"/>
          <w:lang w:val="en-US" w:eastAsia="zh-CN"/>
        </w:rPr>
        <w:t>目的</w:t>
      </w:r>
      <w:bookmarkEnd w:id="14"/>
    </w:p>
    <w:p w14:paraId="1AFB18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驱动公司战略目标有效分解与落地，激励员工产生高价值贡献，并营造公平、公正的评估与激励环境，本绩效方案旨在建立一套与转型目标强关联、量化为主的考核体系，将个人收入与成长与公司发展紧密捆绑。</w:t>
      </w:r>
    </w:p>
    <w:p w14:paraId="7068F53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923"/>
      <w:r>
        <w:rPr>
          <w:rFonts w:hint="eastAsia"/>
          <w:lang w:val="en-US" w:eastAsia="zh-CN"/>
        </w:rPr>
        <w:t>实际内容</w:t>
      </w:r>
      <w:bookmarkEnd w:id="15"/>
    </w:p>
    <w:p w14:paraId="5B0027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依据《绩效考核管理制度》每月对人员进行考核，要求绩效考核合格率达到95%以上</w:t>
      </w:r>
    </w:p>
    <w:p w14:paraId="575E40C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4222"/>
      <w:r>
        <w:rPr>
          <w:rFonts w:hint="eastAsia"/>
          <w:lang w:val="en-US" w:eastAsia="zh-CN"/>
        </w:rPr>
        <w:t>人员技能评定管理计划</w:t>
      </w:r>
      <w:bookmarkEnd w:id="16"/>
    </w:p>
    <w:p w14:paraId="2C31217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9071"/>
      <w:r>
        <w:rPr>
          <w:rFonts w:hint="eastAsia"/>
          <w:lang w:val="en-US" w:eastAsia="zh-CN"/>
        </w:rPr>
        <w:t>目的</w:t>
      </w:r>
      <w:bookmarkEnd w:id="17"/>
    </w:p>
    <w:p w14:paraId="04E999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客观衡量员工能力水平，打通“能力-薪酬-晋升”的职业发展通道，并为培训、招聘等工作提供精准依据，本评定计划旨在建立一套标准化的岗位技能等级体系与评定流程，实现对人才能力的精准盘点与有效激励。</w:t>
      </w:r>
    </w:p>
    <w:p w14:paraId="409B450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742"/>
      <w:r>
        <w:rPr>
          <w:rFonts w:hint="eastAsia"/>
          <w:lang w:val="en-US" w:eastAsia="zh-CN"/>
        </w:rPr>
        <w:t>实际内容</w:t>
      </w:r>
      <w:bookmarkEnd w:id="18"/>
    </w:p>
    <w:p w14:paraId="5338ED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1" w:lineRule="auto"/>
        <w:ind w:left="14" w:firstLine="474"/>
        <w:jc w:val="both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根据《技能评定管理制度》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每季度对人员专业技能进行考核，要求考核合格率达到95%以上。</w:t>
      </w:r>
    </w:p>
    <w:p w14:paraId="47F5DAF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4557"/>
      <w:r>
        <w:rPr>
          <w:rFonts w:hint="eastAsia"/>
          <w:lang w:val="en-US" w:eastAsia="zh-CN"/>
        </w:rPr>
        <w:t>人员备份管理计划</w:t>
      </w:r>
      <w:bookmarkEnd w:id="19"/>
    </w:p>
    <w:p w14:paraId="11E326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26872"/>
      <w:r>
        <w:rPr>
          <w:rFonts w:hint="eastAsia"/>
          <w:lang w:val="en-US" w:eastAsia="zh-CN"/>
        </w:rPr>
        <w:t>目的</w:t>
      </w:r>
      <w:bookmarkEnd w:id="20"/>
    </w:p>
    <w:p w14:paraId="23A638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应对关键岗位员工因休假、离职、病假等突发性、短期缺席而导致的业务中断风险。其核心目标是保障当前业务运营的连续性与稳定性，确保各项工作在紧急情况下能无缝衔接，是一项业务连续性管理措施。</w:t>
      </w:r>
    </w:p>
    <w:p w14:paraId="3DF141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1522"/>
      <w:r>
        <w:rPr>
          <w:rFonts w:hint="eastAsia"/>
          <w:lang w:val="en-US" w:eastAsia="zh-CN"/>
        </w:rPr>
        <w:t>实际内容</w:t>
      </w:r>
      <w:bookmarkEnd w:id="21"/>
    </w:p>
    <w:p w14:paraId="646FA6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备份计划要求备份人员能在短期内（如1-4周）临时接替核心职责</w:t>
      </w:r>
      <w:r>
        <w:rPr>
          <w:rFonts w:hint="eastAsia"/>
          <w:lang w:val="en-US" w:eastAsia="zh-CN"/>
        </w:rPr>
        <w:t>。关键岗位备份情况如表2-4所示</w:t>
      </w:r>
    </w:p>
    <w:p w14:paraId="59473E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关键岗位备份表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FB4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8D89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关键岗位</w:t>
            </w:r>
          </w:p>
        </w:tc>
        <w:tc>
          <w:tcPr>
            <w:tcW w:w="2130" w:type="dxa"/>
          </w:tcPr>
          <w:p w14:paraId="422FBC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主要备份人</w:t>
            </w:r>
          </w:p>
        </w:tc>
        <w:tc>
          <w:tcPr>
            <w:tcW w:w="2131" w:type="dxa"/>
          </w:tcPr>
          <w:p w14:paraId="7697BD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次要备份人</w:t>
            </w:r>
          </w:p>
        </w:tc>
        <w:tc>
          <w:tcPr>
            <w:tcW w:w="2131" w:type="dxa"/>
          </w:tcPr>
          <w:p w14:paraId="63E9D0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工作交接内容</w:t>
            </w:r>
          </w:p>
        </w:tc>
      </w:tr>
      <w:tr w14:paraId="0B37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B7D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130" w:type="dxa"/>
          </w:tcPr>
          <w:p w14:paraId="239ACF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131" w:type="dxa"/>
          </w:tcPr>
          <w:p w14:paraId="589B24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2131" w:type="dxa"/>
          </w:tcPr>
          <w:p w14:paraId="25D2913F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核心联系人</w:t>
            </w:r>
          </w:p>
          <w:p w14:paraId="6CE6DC01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审批权限</w:t>
            </w:r>
          </w:p>
        </w:tc>
      </w:tr>
      <w:tr w14:paraId="4108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6119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2130" w:type="dxa"/>
          </w:tcPr>
          <w:p w14:paraId="22F8A9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其他开发工程师</w:t>
            </w:r>
          </w:p>
        </w:tc>
        <w:tc>
          <w:tcPr>
            <w:tcW w:w="2131" w:type="dxa"/>
          </w:tcPr>
          <w:p w14:paraId="42D0E3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CA609FC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系统架构文档</w:t>
            </w:r>
          </w:p>
          <w:p w14:paraId="04BB0971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代码仓库权限</w:t>
            </w:r>
          </w:p>
        </w:tc>
      </w:tr>
      <w:tr w14:paraId="37C5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6085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采购专员</w:t>
            </w:r>
          </w:p>
        </w:tc>
        <w:tc>
          <w:tcPr>
            <w:tcW w:w="2130" w:type="dxa"/>
          </w:tcPr>
          <w:p w14:paraId="5B89E0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采购部经理</w:t>
            </w:r>
          </w:p>
        </w:tc>
        <w:tc>
          <w:tcPr>
            <w:tcW w:w="2131" w:type="dxa"/>
          </w:tcPr>
          <w:p w14:paraId="4C8974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备品备件管理员</w:t>
            </w:r>
          </w:p>
        </w:tc>
        <w:tc>
          <w:tcPr>
            <w:tcW w:w="2131" w:type="dxa"/>
          </w:tcPr>
          <w:p w14:paraId="4517D829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供应商联络表</w:t>
            </w:r>
          </w:p>
          <w:p w14:paraId="4AE885C5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采购清单</w:t>
            </w:r>
          </w:p>
        </w:tc>
      </w:tr>
    </w:tbl>
    <w:p w14:paraId="5122B9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0A87682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bookmarkStart w:id="22" w:name="bookmark14"/>
      <w:bookmarkEnd w:id="22"/>
      <w:bookmarkStart w:id="23" w:name="_Toc24626"/>
      <w:r>
        <w:rPr>
          <w:rFonts w:hint="eastAsia"/>
          <w:lang w:val="en-US" w:eastAsia="zh-CN"/>
        </w:rPr>
        <w:t>资源保障</w:t>
      </w:r>
      <w:bookmarkEnd w:id="23"/>
    </w:p>
    <w:p w14:paraId="55AAEA01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bookmarkStart w:id="24" w:name="_Toc21630"/>
      <w:r>
        <w:rPr>
          <w:rFonts w:hint="eastAsia"/>
          <w:lang w:val="en-US" w:eastAsia="zh-CN"/>
        </w:rPr>
        <w:t>人员保障</w:t>
      </w:r>
      <w:bookmarkEnd w:id="24"/>
    </w:p>
    <w:p w14:paraId="2621B64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综合管理部配备专人组织培训</w:t>
      </w:r>
    </w:p>
    <w:p w14:paraId="6B4E8C43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各部门负责人作为本部门人员管理第一责任人</w:t>
      </w:r>
    </w:p>
    <w:p w14:paraId="0B3CDC0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运维部指定专人负责新员工导师带教</w:t>
      </w:r>
    </w:p>
    <w:p w14:paraId="5312C1F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5" w:name="_Toc27328"/>
      <w:r>
        <w:rPr>
          <w:rFonts w:hint="eastAsia"/>
          <w:lang w:val="en-US" w:eastAsia="zh-CN"/>
        </w:rPr>
        <w:t>经费保障</w:t>
      </w:r>
      <w:bookmarkEnd w:id="2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2283"/>
        <w:gridCol w:w="4791"/>
      </w:tblGrid>
      <w:tr w14:paraId="72E81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7F4F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EEC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预算（万元）</w:t>
            </w:r>
          </w:p>
        </w:tc>
        <w:tc>
          <w:tcPr>
            <w:tcW w:w="47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068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072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BD820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6D7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11FF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招聘平台、猎头服务、招聘会</w:t>
            </w:r>
          </w:p>
        </w:tc>
      </w:tr>
      <w:tr w14:paraId="761B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C026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培训费用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92D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5D53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外部培训、认证考试、内部讲师课酬</w:t>
            </w:r>
          </w:p>
        </w:tc>
      </w:tr>
      <w:tr w14:paraId="5F608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56E6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绩效奖励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E90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A229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年度绩效奖金、优秀员工奖励</w:t>
            </w:r>
          </w:p>
        </w:tc>
      </w:tr>
      <w:tr w14:paraId="016D0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6969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652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6196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6FAD3C9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6A9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F6A624D"/>
    <w:multiLevelType w:val="singleLevel"/>
    <w:tmpl w:val="AF6A62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A9CD5B4"/>
    <w:multiLevelType w:val="singleLevel"/>
    <w:tmpl w:val="BA9CD5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538D2FA"/>
    <w:multiLevelType w:val="singleLevel"/>
    <w:tmpl w:val="3538D2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9927FA"/>
    <w:rsid w:val="2AF31A14"/>
    <w:rsid w:val="6C06178C"/>
    <w:rsid w:val="6D94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1345</Words>
  <Characters>1568</Characters>
  <Lines>0</Lines>
  <Paragraphs>0</Paragraphs>
  <TotalTime>0</TotalTime>
  <ScaleCrop>false</ScaleCrop>
  <LinksUpToDate>false</LinksUpToDate>
  <CharactersWithSpaces>1690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2026-03-23T00:38:33Z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