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F613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5863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 w14:paraId="497C75CC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6563"/>
      <w:r>
        <w:rPr>
          <w:rFonts w:hint="eastAsia"/>
          <w:lang w:val="en-US" w:eastAsia="zh-CN"/>
        </w:rPr>
        <w:t>2026年度人员管理计划</w:t>
      </w:r>
      <w:bookmarkEnd w:id="1"/>
    </w:p>
    <w:p w14:paraId="2ADFFD2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1BB6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5BB9D9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综合管理部</w:t>
            </w:r>
          </w:p>
        </w:tc>
        <w:tc>
          <w:tcPr>
            <w:tcW w:w="2708" w:type="dxa"/>
          </w:tcPr>
          <w:p w14:paraId="500D2E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2026.01.03</w:t>
            </w:r>
          </w:p>
        </w:tc>
      </w:tr>
      <w:tr w14:paraId="4079C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7990DD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2143C4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2026.01.03</w:t>
            </w:r>
          </w:p>
        </w:tc>
      </w:tr>
      <w:tr w14:paraId="60E90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A0DB6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 w14:paraId="6F2611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2026.01.03</w:t>
            </w:r>
          </w:p>
        </w:tc>
      </w:tr>
    </w:tbl>
    <w:p w14:paraId="761F36C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7140D8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2DDC5B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1B9906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D6B3E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3417E9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4719D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3CFB9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7EAA48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03</w:t>
            </w:r>
          </w:p>
        </w:tc>
        <w:tc>
          <w:tcPr>
            <w:tcW w:w="919" w:type="dxa"/>
          </w:tcPr>
          <w:p w14:paraId="083901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D343D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7B9011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 w14:paraId="383E5D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4D633B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7C93606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0DD7F09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39242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D9664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16CB03D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12C3A13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741AE93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1A78EA7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823F1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16FFAED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3715A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3A77D27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7C794E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24108B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46E0C6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92313D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_Toc15863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_Toc15863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BAB92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_Toc6563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2026年度人员管理计划</w:t>
          </w:r>
          <w:r>
            <w:tab/>
          </w:r>
          <w:r>
            <w:fldChar w:fldCharType="begin"/>
          </w:r>
          <w:r>
            <w:instrText xml:space="preserve"> PAGEREF _Toc6563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317A0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_Toc27144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计划目的</w:t>
          </w:r>
          <w:r>
            <w:tab/>
          </w:r>
          <w:r>
            <w:fldChar w:fldCharType="begin"/>
          </w:r>
          <w:r>
            <w:instrText xml:space="preserve"> PAGEREF _Toc27144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DD8DF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_Toc28362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_Toc28362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9998A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_Toc24098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2025年人员管理工作回顾</w:t>
          </w:r>
          <w:r>
            <w:tab/>
          </w:r>
          <w:r>
            <w:fldChar w:fldCharType="begin"/>
          </w:r>
          <w:r>
            <w:instrText xml:space="preserve"> PAGEREF _Toc24098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573C5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_Toc14580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2025年主要成果</w:t>
          </w:r>
          <w:r>
            <w:tab/>
          </w:r>
          <w:r>
            <w:fldChar w:fldCharType="begin"/>
          </w:r>
          <w:r>
            <w:instrText xml:space="preserve"> PAGEREF _Toc14580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344C7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2025年存在的主要问题</w:t>
          </w:r>
          <w:r>
            <w:tab/>
          </w:r>
          <w:r>
            <w:fldChar w:fldCharType="begin"/>
          </w:r>
          <w:r>
            <w:instrText xml:space="preserve"> PAGEREF _Toc2272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A8628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_Toc10020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2026年人员管理目标</w:t>
          </w:r>
          <w:r>
            <w:tab/>
          </w:r>
          <w:r>
            <w:fldChar w:fldCharType="begin"/>
          </w:r>
          <w:r>
            <w:instrText xml:space="preserve"> PAGEREF _Toc10020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53D5A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_Toc21676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2026年人员招聘计划</w:t>
          </w:r>
          <w:r>
            <w:tab/>
          </w:r>
          <w:r>
            <w:fldChar w:fldCharType="begin"/>
          </w:r>
          <w:r>
            <w:instrText xml:space="preserve"> PAGEREF _Toc21676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6A45A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_Toc23499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2026年人员储备计划</w:t>
          </w:r>
          <w:r>
            <w:tab/>
          </w:r>
          <w:r>
            <w:fldChar w:fldCharType="begin"/>
          </w:r>
          <w:r>
            <w:instrText xml:space="preserve"> PAGEREF _Toc23499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507F5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_Toc23861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2026年人员培训计划</w:t>
          </w:r>
          <w:r>
            <w:tab/>
          </w:r>
          <w:r>
            <w:fldChar w:fldCharType="begin"/>
          </w:r>
          <w:r>
            <w:instrText xml:space="preserve"> PAGEREF _Toc23861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BE9F6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2026年人员绩效考核计划</w:t>
          </w:r>
          <w:r>
            <w:tab/>
          </w:r>
          <w:r>
            <w:fldChar w:fldCharType="begin"/>
          </w:r>
          <w:r>
            <w:instrText xml:space="preserve"> PAGEREF _Toc725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443ED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 2026年人员技能评定计划</w:t>
          </w:r>
          <w:r>
            <w:tab/>
          </w:r>
          <w:r>
            <w:fldChar w:fldCharType="begin"/>
          </w:r>
          <w:r>
            <w:instrText xml:space="preserve"> PAGEREF _Toc2506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A945C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_Toc27934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10. 2026年人员备份计划</w:t>
          </w:r>
          <w:r>
            <w:tab/>
          </w:r>
          <w:r>
            <w:fldChar w:fldCharType="begin"/>
          </w:r>
          <w:r>
            <w:instrText xml:space="preserve"> PAGEREF _Toc27934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7CF66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_Toc31607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11. 资源保障</w:t>
          </w:r>
          <w:r>
            <w:tab/>
          </w:r>
          <w:r>
            <w:fldChar w:fldCharType="begin"/>
          </w:r>
          <w:r>
            <w:instrText xml:space="preserve"> PAGEREF _Toc31607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A4707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11.1. 人员保障</w:t>
          </w:r>
          <w:r>
            <w:tab/>
          </w:r>
          <w:r>
            <w:fldChar w:fldCharType="begin"/>
          </w:r>
          <w:r>
            <w:instrText xml:space="preserve"> PAGEREF _Toc1179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38335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_Toc29970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11.2. 经费保障</w:t>
          </w:r>
          <w:r>
            <w:tab/>
          </w:r>
          <w:r>
            <w:fldChar w:fldCharType="begin"/>
          </w:r>
          <w:r>
            <w:instrText xml:space="preserve"> PAGEREF _Toc29970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BF32D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_Toc18105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12. 附件</w:t>
          </w:r>
          <w:r>
            <w:tab/>
          </w:r>
          <w:r>
            <w:fldChar w:fldCharType="begin"/>
          </w:r>
          <w:r>
            <w:instrText xml:space="preserve"> PAGEREF _Toc18105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92CA2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7DB025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29E6AF1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2" w:name="_Toc27144"/>
      <w:r>
        <w:rPr>
          <w:rFonts w:hint="default"/>
          <w:lang w:val="en-US" w:eastAsia="zh-CN"/>
        </w:rPr>
        <w:t>计划目的</w:t>
      </w:r>
      <w:bookmarkEnd w:id="2"/>
    </w:p>
    <w:p w14:paraId="64B9644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支撑公司运维服务能力持续提升和ITSS三级认证成果的深化应用，保障2026年度业务发展对人才的需求，系统性地规划人员招聘、储备、培训、绩效、技能评定及备份等管理工作，建立与公司战略转型目标相匹配的人才队伍，特制定本计划。</w:t>
      </w:r>
    </w:p>
    <w:p w14:paraId="3C7181B0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3" w:name="_Toc28362"/>
      <w:r>
        <w:rPr>
          <w:rFonts w:hint="default"/>
          <w:lang w:val="en-US" w:eastAsia="zh-CN"/>
        </w:rPr>
        <w:t>适用范围</w:t>
      </w:r>
      <w:bookmarkEnd w:id="3"/>
    </w:p>
    <w:p w14:paraId="3039A9B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本计划适用于公司综合管理部、运维部、技术研发部、质量部、采购部等所有部门的人员管理活动。</w:t>
      </w:r>
    </w:p>
    <w:p w14:paraId="3B744275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4" w:name="_Toc24098"/>
      <w:r>
        <w:rPr>
          <w:rFonts w:hint="default"/>
          <w:lang w:val="en-US" w:eastAsia="zh-CN"/>
        </w:rPr>
        <w:t>2025年人员管理工作回顾</w:t>
      </w:r>
      <w:bookmarkEnd w:id="4"/>
    </w:p>
    <w:p w14:paraId="002378B0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5" w:name="_Toc14580"/>
      <w:r>
        <w:rPr>
          <w:rFonts w:hint="default"/>
          <w:lang w:val="en-US" w:eastAsia="zh-CN"/>
        </w:rPr>
        <w:t>2025年主要成果</w:t>
      </w:r>
      <w:bookmarkEnd w:id="5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5"/>
        <w:gridCol w:w="4531"/>
        <w:gridCol w:w="1529"/>
      </w:tblGrid>
      <w:tr w14:paraId="04581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BACEA9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7ADCD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2025年达成情况</w:t>
            </w:r>
          </w:p>
        </w:tc>
        <w:tc>
          <w:tcPr>
            <w:tcW w:w="152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A0A92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评价</w:t>
            </w:r>
          </w:p>
        </w:tc>
      </w:tr>
      <w:tr w14:paraId="0CAE7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5B316C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人员招聘完成率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09B67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100%（6人全部到岗）</w:t>
            </w:r>
          </w:p>
        </w:tc>
        <w:tc>
          <w:tcPr>
            <w:tcW w:w="15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A8CA0B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达成目标</w:t>
            </w:r>
          </w:p>
        </w:tc>
      </w:tr>
      <w:tr w14:paraId="0A6A5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C7D0BB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人员储备完成率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A6066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100%（4人全部储备）</w:t>
            </w:r>
          </w:p>
        </w:tc>
        <w:tc>
          <w:tcPr>
            <w:tcW w:w="15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24D771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达成目标</w:t>
            </w:r>
          </w:p>
        </w:tc>
      </w:tr>
      <w:tr w14:paraId="7A711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24EFD4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培训课程达成率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AB358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100%（16项全部完成）</w:t>
            </w:r>
          </w:p>
        </w:tc>
        <w:tc>
          <w:tcPr>
            <w:tcW w:w="15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801006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达成目标</w:t>
            </w:r>
          </w:p>
        </w:tc>
      </w:tr>
      <w:tr w14:paraId="75662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5D3918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绩效考核合格率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A89E8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100%（平均93分）</w:t>
            </w:r>
          </w:p>
        </w:tc>
        <w:tc>
          <w:tcPr>
            <w:tcW w:w="15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7DC74E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超额达标</w:t>
            </w:r>
          </w:p>
        </w:tc>
      </w:tr>
      <w:tr w14:paraId="64FBC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3AB8C2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技能评定合格率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B51CD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100%（四个季度均为100%）</w:t>
            </w:r>
          </w:p>
        </w:tc>
        <w:tc>
          <w:tcPr>
            <w:tcW w:w="15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6D6D5B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超额达标</w:t>
            </w:r>
          </w:p>
        </w:tc>
      </w:tr>
      <w:tr w14:paraId="2424D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3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B4D54D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人员备份机制</w:t>
            </w:r>
          </w:p>
        </w:tc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AD6A1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关键岗位AB岗备份</w:t>
            </w:r>
          </w:p>
        </w:tc>
        <w:tc>
          <w:tcPr>
            <w:tcW w:w="15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94BDE1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达成目标</w:t>
            </w:r>
          </w:p>
        </w:tc>
      </w:tr>
    </w:tbl>
    <w:p w14:paraId="0DA2A33C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6" w:name="_Toc2272"/>
      <w:r>
        <w:rPr>
          <w:rFonts w:hint="default"/>
          <w:lang w:val="en-US" w:eastAsia="zh-CN"/>
        </w:rPr>
        <w:t>2025年存在的主要问题</w:t>
      </w:r>
      <w:bookmarkEnd w:id="6"/>
    </w:p>
    <w:p w14:paraId="1B35F16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运维工程师专业技能有待提升：满意度调查中“运维管理”维度满意度较低，需加强专业技能培训。</w:t>
      </w:r>
    </w:p>
    <w:p w14:paraId="5F1F247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培训效果评估不够深入：部分培训仅通过问卷评估，缺乏对实际工作能力提升的跟踪验证。</w:t>
      </w:r>
    </w:p>
    <w:p w14:paraId="7C06AF9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岗位说明书需动态更新：随着业务发展和岗位职责调整，部分岗位说明书内容需同步更新。</w:t>
      </w:r>
    </w:p>
    <w:p w14:paraId="0FDF5168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7" w:name="_Toc10020"/>
      <w:r>
        <w:rPr>
          <w:rFonts w:hint="default"/>
          <w:lang w:val="en-US" w:eastAsia="zh-CN"/>
        </w:rPr>
        <w:t>2026年人员管理目标</w:t>
      </w:r>
      <w:bookmarkEnd w:id="7"/>
    </w:p>
    <w:p w14:paraId="673C18E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稳定团队：保持核心团队稳定，关键岗位人员流失率控制在10%以内。</w:t>
      </w:r>
    </w:p>
    <w:p w14:paraId="598989D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能力提升：通过系统性培训，提升运维工程师专业技能和服务意识。</w:t>
      </w:r>
    </w:p>
    <w:p w14:paraId="1DAC965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梯队建设：完善人才储备机制，关键岗位储备率达到100%。</w:t>
      </w:r>
    </w:p>
    <w:p w14:paraId="243A7A2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绩效驱动：优化绩效考核体系，激励高价值贡献。</w:t>
      </w:r>
    </w:p>
    <w:p w14:paraId="5C3A0749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8" w:name="_Toc21676"/>
      <w:r>
        <w:rPr>
          <w:rFonts w:hint="default"/>
          <w:lang w:val="en-US" w:eastAsia="zh-CN"/>
        </w:rPr>
        <w:t>2026年人员招聘计划</w:t>
      </w:r>
      <w:bookmarkEnd w:id="8"/>
    </w:p>
    <w:p w14:paraId="6D040D2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根据公司2026年业务发展规划和技术研发需求，计划新增招聘3人，具体如下：</w:t>
      </w:r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1"/>
        <w:gridCol w:w="1829"/>
        <w:gridCol w:w="1604"/>
        <w:gridCol w:w="1380"/>
        <w:gridCol w:w="1831"/>
      </w:tblGrid>
      <w:tr w14:paraId="2BFE6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E86126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52521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招聘岗位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B418C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77A6D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招聘人数</w:t>
            </w:r>
          </w:p>
        </w:tc>
        <w:tc>
          <w:tcPr>
            <w:tcW w:w="183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50816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计划完成时间</w:t>
            </w:r>
          </w:p>
        </w:tc>
      </w:tr>
      <w:tr w14:paraId="4299E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7A020E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2026年第一季度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3C8AB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B0F23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C427E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8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7475F4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</w:tr>
      <w:tr w14:paraId="5DA1A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79A130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2026年第二季度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9E937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5439C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3424E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8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CD8AB3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</w:tr>
      <w:tr w14:paraId="2F141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734049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2026年第三季度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3E0D8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59DAC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  <w:bookmarkStart w:id="18" w:name="_GoBack"/>
            <w:bookmarkEnd w:id="18"/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DC61C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8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70BFC2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</w:tr>
      <w:tr w14:paraId="0B54A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5EF1AD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2026年第四季度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A0D6B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2F23D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BCA05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  <w:tc>
          <w:tcPr>
            <w:tcW w:w="18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933B68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 w14:paraId="6FEB9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5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DD9AB3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合计</w:t>
            </w:r>
          </w:p>
        </w:tc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92D83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5324C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08F70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3人</w:t>
            </w:r>
          </w:p>
        </w:tc>
        <w:tc>
          <w:tcPr>
            <w:tcW w:w="18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AEBAA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</w:p>
        </w:tc>
      </w:tr>
    </w:tbl>
    <w:p w14:paraId="15537F4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招聘说明：</w:t>
      </w:r>
    </w:p>
    <w:p w14:paraId="258C07C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开发工程师：为满足AIOps智能运维深化和备份恢复自动化等研发项目需求，新增1名开发工程师。</w:t>
      </w:r>
    </w:p>
    <w:p w14:paraId="5AF1318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运维工程师：为支撑业务扩张、值班排班优化及运维工具应用推广，新增2名运维工程师。</w:t>
      </w:r>
    </w:p>
    <w:p w14:paraId="26069CC5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9" w:name="_Toc23499"/>
      <w:r>
        <w:rPr>
          <w:rFonts w:hint="default"/>
          <w:lang w:val="en-US" w:eastAsia="zh-CN"/>
        </w:rPr>
        <w:t>2026年人员储备计划</w:t>
      </w:r>
      <w:bookmarkEnd w:id="9"/>
    </w:p>
    <w:p w14:paraId="28F1826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为降低关键岗位人才流失风险，保障业务连续性，2026年人员储备计划如下：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5"/>
        <w:gridCol w:w="913"/>
        <w:gridCol w:w="1340"/>
        <w:gridCol w:w="3649"/>
        <w:gridCol w:w="1295"/>
      </w:tblGrid>
      <w:tr w14:paraId="57D83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2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68E25F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储备目标岗位</w:t>
            </w:r>
          </w:p>
        </w:tc>
        <w:tc>
          <w:tcPr>
            <w:tcW w:w="91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E17D9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储备人次</w:t>
            </w:r>
          </w:p>
        </w:tc>
        <w:tc>
          <w:tcPr>
            <w:tcW w:w="13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2A308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储备人选来源</w:t>
            </w:r>
          </w:p>
        </w:tc>
        <w:tc>
          <w:tcPr>
            <w:tcW w:w="364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D4272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核心培养措施</w:t>
            </w:r>
          </w:p>
        </w:tc>
        <w:tc>
          <w:tcPr>
            <w:tcW w:w="129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79BE4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计划完成时间</w:t>
            </w:r>
          </w:p>
        </w:tc>
      </w:tr>
      <w:tr w14:paraId="6342A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CF9146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89200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18EAF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现任运维项目经理</w:t>
            </w:r>
          </w:p>
        </w:tc>
        <w:tc>
          <w:tcPr>
            <w:tcW w:w="36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8DD11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导师制：由技术研发部经理进行技术管理辅导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轮岗实践：短期轮岗至技术研发部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授权历练：独立负责部门年度规划、预算编制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C868BE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2026年9月</w:t>
            </w:r>
          </w:p>
        </w:tc>
      </w:tr>
      <w:tr w14:paraId="137D8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BFB556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技术研发部经理</w:t>
            </w:r>
          </w:p>
        </w:tc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BA227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4BE88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现任开发工程师</w:t>
            </w:r>
          </w:p>
        </w:tc>
        <w:tc>
          <w:tcPr>
            <w:tcW w:w="36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1DC26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技术管理：负责技术选型评审、代码规范制定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带队任务：作为技术组长，带领小组完成AIOps模块开发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业务接触：参与客户需求调研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C6C7C3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2026年10月</w:t>
            </w:r>
          </w:p>
        </w:tc>
      </w:tr>
      <w:tr w14:paraId="02EBF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CF7D66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质量部经理</w:t>
            </w:r>
          </w:p>
        </w:tc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69562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0DD80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现任质量管理专员</w:t>
            </w:r>
          </w:p>
        </w:tc>
        <w:tc>
          <w:tcPr>
            <w:tcW w:w="364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4751B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导师制：由质量部经理一对一辅导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专项任务：独立负责内审策划与实施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培训学习：参加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itss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内审员培训</w:t>
            </w:r>
          </w:p>
        </w:tc>
        <w:tc>
          <w:tcPr>
            <w:tcW w:w="129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61599A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2026年11月</w:t>
            </w:r>
          </w:p>
        </w:tc>
      </w:tr>
    </w:tbl>
    <w:p w14:paraId="3E5006C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储备目标：关键岗位储备率达到100%。</w:t>
      </w:r>
    </w:p>
    <w:p w14:paraId="37E7274D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10" w:name="_Toc23861"/>
      <w:r>
        <w:rPr>
          <w:rFonts w:hint="default"/>
          <w:lang w:val="en-US" w:eastAsia="zh-CN"/>
        </w:rPr>
        <w:t>2026年人员培训计划</w:t>
      </w:r>
      <w:bookmarkEnd w:id="10"/>
    </w:p>
    <w:p w14:paraId="0851353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为提升员工专业技能和服务意识，2026年培训计划如下：</w:t>
      </w:r>
    </w:p>
    <w:tbl>
      <w:tblPr>
        <w:tblStyle w:val="20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4"/>
        <w:gridCol w:w="3359"/>
        <w:gridCol w:w="1704"/>
        <w:gridCol w:w="1417"/>
        <w:gridCol w:w="1046"/>
      </w:tblGrid>
      <w:tr w14:paraId="459E09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78" w:type="pct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3D5044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1973" w:type="pc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023C8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培训主题</w:t>
            </w:r>
          </w:p>
        </w:tc>
        <w:tc>
          <w:tcPr>
            <w:tcW w:w="1001" w:type="pc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6E7B4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主要部门</w:t>
            </w:r>
          </w:p>
        </w:tc>
        <w:tc>
          <w:tcPr>
            <w:tcW w:w="832" w:type="pc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DC7B2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培训时间</w:t>
            </w:r>
          </w:p>
        </w:tc>
        <w:tc>
          <w:tcPr>
            <w:tcW w:w="614" w:type="pct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DD218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培训方式</w:t>
            </w:r>
          </w:p>
        </w:tc>
      </w:tr>
      <w:tr w14:paraId="13541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8" w:type="pct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157490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第一季度</w:t>
            </w:r>
          </w:p>
        </w:tc>
        <w:tc>
          <w:tcPr>
            <w:tcW w:w="197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7F5A7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ITSS标准深化培训</w:t>
            </w:r>
          </w:p>
        </w:tc>
        <w:tc>
          <w:tcPr>
            <w:tcW w:w="100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CED0E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运维部、质量部</w:t>
            </w:r>
          </w:p>
        </w:tc>
        <w:tc>
          <w:tcPr>
            <w:tcW w:w="83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B21B7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61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0ED36E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外聘</w:t>
            </w:r>
          </w:p>
        </w:tc>
      </w:tr>
      <w:tr w14:paraId="768DE3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8" w:type="pct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BB9B560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97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11109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新员工入职培训</w:t>
            </w:r>
          </w:p>
        </w:tc>
        <w:tc>
          <w:tcPr>
            <w:tcW w:w="100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CF9F8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新入职员工</w:t>
            </w:r>
          </w:p>
        </w:tc>
        <w:tc>
          <w:tcPr>
            <w:tcW w:w="83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1CDD2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61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29DE9C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</w:tr>
      <w:tr w14:paraId="01A47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8" w:type="pct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01266E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97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62E07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禅道过程管理工具基础使用培训</w:t>
            </w:r>
          </w:p>
        </w:tc>
        <w:tc>
          <w:tcPr>
            <w:tcW w:w="100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E47B5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83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93BD1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61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34EFF9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</w:tr>
      <w:tr w14:paraId="56BC0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8" w:type="pct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9C6703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第二季度</w:t>
            </w:r>
          </w:p>
        </w:tc>
        <w:tc>
          <w:tcPr>
            <w:tcW w:w="197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F365C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配置管理专项培训</w:t>
            </w:r>
          </w:p>
        </w:tc>
        <w:tc>
          <w:tcPr>
            <w:tcW w:w="100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B06F9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83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B7E76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2026年4月</w:t>
            </w:r>
          </w:p>
        </w:tc>
        <w:tc>
          <w:tcPr>
            <w:tcW w:w="61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97590F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</w:tr>
      <w:tr w14:paraId="44C6F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8" w:type="pct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123217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97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1D3D3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信息安全意识培训</w:t>
            </w:r>
          </w:p>
        </w:tc>
        <w:tc>
          <w:tcPr>
            <w:tcW w:w="100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30C62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全体员工</w:t>
            </w:r>
          </w:p>
        </w:tc>
        <w:tc>
          <w:tcPr>
            <w:tcW w:w="83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99901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61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AEA687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</w:tr>
      <w:tr w14:paraId="1237F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8" w:type="pct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77D8B61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97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5584C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客户沟通与投诉处理技巧</w:t>
            </w:r>
          </w:p>
        </w:tc>
        <w:tc>
          <w:tcPr>
            <w:tcW w:w="100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79ABF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服务台、运维部</w:t>
            </w:r>
          </w:p>
        </w:tc>
        <w:tc>
          <w:tcPr>
            <w:tcW w:w="83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16EB9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61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AF7B6D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角色扮演</w:t>
            </w:r>
          </w:p>
        </w:tc>
      </w:tr>
      <w:tr w14:paraId="0808F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8" w:type="pct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D6EE8EA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97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8D106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DASUSM平台运维审计与安全管控培训</w:t>
            </w:r>
          </w:p>
        </w:tc>
        <w:tc>
          <w:tcPr>
            <w:tcW w:w="100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DCEE7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83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AB36A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61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7009AE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</w:tr>
      <w:tr w14:paraId="2B338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8" w:type="pct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C06917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第三季度</w:t>
            </w:r>
          </w:p>
        </w:tc>
        <w:tc>
          <w:tcPr>
            <w:tcW w:w="197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9A0A7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质量数据分析方法</w:t>
            </w:r>
          </w:p>
        </w:tc>
        <w:tc>
          <w:tcPr>
            <w:tcW w:w="100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31BDB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质量部、运维部</w:t>
            </w:r>
          </w:p>
        </w:tc>
        <w:tc>
          <w:tcPr>
            <w:tcW w:w="83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22C06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  <w:tc>
          <w:tcPr>
            <w:tcW w:w="61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102D8E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</w:tr>
      <w:tr w14:paraId="09080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8" w:type="pct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36492C4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97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CC0AB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应急响应实战演练</w:t>
            </w:r>
          </w:p>
        </w:tc>
        <w:tc>
          <w:tcPr>
            <w:tcW w:w="100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8ED7C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83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769F9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2026年9月</w:t>
            </w:r>
          </w:p>
        </w:tc>
        <w:tc>
          <w:tcPr>
            <w:tcW w:w="61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A5DD82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实战演练</w:t>
            </w:r>
          </w:p>
        </w:tc>
      </w:tr>
      <w:tr w14:paraId="78B73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8" w:type="pct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389869C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97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61AA7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AIOps技术培训</w:t>
            </w:r>
          </w:p>
        </w:tc>
        <w:tc>
          <w:tcPr>
            <w:tcW w:w="100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86F7D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技术研发部、运维部</w:t>
            </w:r>
          </w:p>
        </w:tc>
        <w:tc>
          <w:tcPr>
            <w:tcW w:w="83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F0DAD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2026年9月</w:t>
            </w:r>
          </w:p>
        </w:tc>
        <w:tc>
          <w:tcPr>
            <w:tcW w:w="61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68E5FD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线上培训</w:t>
            </w:r>
          </w:p>
        </w:tc>
      </w:tr>
      <w:tr w14:paraId="60894F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8" w:type="pct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8A31A28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97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934F2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阿里云飞天企业版监控工具深度应用培训</w:t>
            </w:r>
          </w:p>
        </w:tc>
        <w:tc>
          <w:tcPr>
            <w:tcW w:w="100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1E221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83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CD604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2026年9月</w:t>
            </w:r>
          </w:p>
        </w:tc>
        <w:tc>
          <w:tcPr>
            <w:tcW w:w="61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37A2FF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</w:tr>
      <w:tr w14:paraId="261C1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8" w:type="pct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E7CC8B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第四季度</w:t>
            </w:r>
          </w:p>
        </w:tc>
        <w:tc>
          <w:tcPr>
            <w:tcW w:w="197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60399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团队管理与领导能力提升</w:t>
            </w:r>
          </w:p>
        </w:tc>
        <w:tc>
          <w:tcPr>
            <w:tcW w:w="100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8E59F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部门经理、储备人员</w:t>
            </w:r>
          </w:p>
        </w:tc>
        <w:tc>
          <w:tcPr>
            <w:tcW w:w="83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4DEC2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2026年10月</w:t>
            </w:r>
          </w:p>
        </w:tc>
        <w:tc>
          <w:tcPr>
            <w:tcW w:w="61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339A8B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外聘</w:t>
            </w:r>
          </w:p>
        </w:tc>
      </w:tr>
      <w:tr w14:paraId="272BF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8" w:type="pct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A062536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973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95C87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运维自动化技术分享</w:t>
            </w:r>
          </w:p>
        </w:tc>
        <w:tc>
          <w:tcPr>
            <w:tcW w:w="100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49706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运维部、技术研发部</w:t>
            </w:r>
          </w:p>
        </w:tc>
        <w:tc>
          <w:tcPr>
            <w:tcW w:w="83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1D33F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2026年11月</w:t>
            </w:r>
          </w:p>
        </w:tc>
        <w:tc>
          <w:tcPr>
            <w:tcW w:w="61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8C5F86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内部分享</w:t>
            </w:r>
          </w:p>
        </w:tc>
      </w:tr>
      <w:tr w14:paraId="263DE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8" w:type="pct"/>
            <w:vMerge w:val="continue"/>
            <w:tcBorders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84CFAE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973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C25C0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年度培训总结与知识沉淀</w:t>
            </w:r>
          </w:p>
        </w:tc>
        <w:tc>
          <w:tcPr>
            <w:tcW w:w="1001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E4AD3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全体员工</w:t>
            </w:r>
          </w:p>
        </w:tc>
        <w:tc>
          <w:tcPr>
            <w:tcW w:w="832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6ADA9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2026年12月</w:t>
            </w:r>
          </w:p>
        </w:tc>
        <w:tc>
          <w:tcPr>
            <w:tcW w:w="614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295EC9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总结会</w:t>
            </w:r>
          </w:p>
        </w:tc>
      </w:tr>
    </w:tbl>
    <w:p w14:paraId="670576A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0E194E1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培训保障机制：</w:t>
      </w:r>
    </w:p>
    <w:p w14:paraId="6A2F4E1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预算支持：公司设立专项培训经费10万元，用于支付外部讲师、课程费用及认证考试费。</w:t>
      </w:r>
    </w:p>
    <w:p w14:paraId="65E0C2D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效果评估：每次培训后通过问卷或考试进行评估，并要求受训员工进行内部分享，确保知识转化。</w:t>
      </w:r>
    </w:p>
    <w:p w14:paraId="22465E2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与绩效挂钩：将培训参与度与完成情况纳入个人年度绩效考核的“能力与行为”维度。</w:t>
      </w:r>
    </w:p>
    <w:p w14:paraId="125F3B5C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11" w:name="_Toc725"/>
      <w:r>
        <w:rPr>
          <w:rFonts w:hint="default"/>
          <w:lang w:val="en-US" w:eastAsia="zh-CN"/>
        </w:rPr>
        <w:t>2026年人员绩效考核计划</w:t>
      </w:r>
      <w:bookmarkEnd w:id="11"/>
    </w:p>
    <w:p w14:paraId="0E298C4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依据《人员绩效考核管理制度》每月对人员进行考核，重点考核以下内容：</w:t>
      </w:r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3"/>
        <w:gridCol w:w="5802"/>
        <w:gridCol w:w="1210"/>
      </w:tblGrid>
      <w:tr w14:paraId="51FA6F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5EF73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考核维度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D93C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考核内容</w:t>
            </w:r>
          </w:p>
        </w:tc>
        <w:tc>
          <w:tcPr>
            <w:tcW w:w="121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44C8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权重</w:t>
            </w:r>
          </w:p>
        </w:tc>
      </w:tr>
      <w:tr w14:paraId="79217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59C71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工作业绩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834B2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SLA达成情况、事件解决率、任务完成率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D0128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50%</w:t>
            </w:r>
          </w:p>
        </w:tc>
      </w:tr>
      <w:tr w14:paraId="7B20E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F7BE4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7D63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专业技能、问题解决能力、学习能力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A8C5B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30%</w:t>
            </w:r>
          </w:p>
        </w:tc>
      </w:tr>
      <w:tr w14:paraId="77036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8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A9973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工作态度</w:t>
            </w:r>
          </w:p>
        </w:tc>
        <w:tc>
          <w:tcPr>
            <w:tcW w:w="58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D51B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责任心、团队协作、服务意识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64303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</w:tr>
    </w:tbl>
    <w:p w14:paraId="0B7E0B6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考核目标：月度绩效考核合格率≥95%，平均绩效得分≥90分。</w:t>
      </w:r>
    </w:p>
    <w:p w14:paraId="5BA9339D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12" w:name="_Toc2506"/>
      <w:r>
        <w:rPr>
          <w:rFonts w:hint="default"/>
          <w:lang w:val="en-US" w:eastAsia="zh-CN"/>
        </w:rPr>
        <w:t>2026年人员技能评定计划</w:t>
      </w:r>
      <w:bookmarkEnd w:id="12"/>
    </w:p>
    <w:p w14:paraId="0F1C3D0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依据《人员技能评定管理制度》每季度对人员进行技能评定，评定维度如下：</w:t>
      </w:r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4"/>
        <w:gridCol w:w="4992"/>
        <w:gridCol w:w="1919"/>
      </w:tblGrid>
      <w:tr w14:paraId="4026F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D0A15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评定维度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76FB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评定内容</w:t>
            </w:r>
          </w:p>
        </w:tc>
        <w:tc>
          <w:tcPr>
            <w:tcW w:w="191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2946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评定方式</w:t>
            </w:r>
          </w:p>
        </w:tc>
      </w:tr>
      <w:tr w14:paraId="315B9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FF2BA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专业知识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4523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ITSS标准、运维技术、信息安全</w:t>
            </w:r>
          </w:p>
        </w:tc>
        <w:tc>
          <w:tcPr>
            <w:tcW w:w="19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CF46B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笔试/面试</w:t>
            </w:r>
          </w:p>
        </w:tc>
      </w:tr>
      <w:tr w14:paraId="384EC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09746D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技能水平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E968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故障处理能力、工具使用能力</w:t>
            </w:r>
          </w:p>
        </w:tc>
        <w:tc>
          <w:tcPr>
            <w:tcW w:w="19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30DDF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实操考核</w:t>
            </w:r>
          </w:p>
        </w:tc>
      </w:tr>
      <w:tr w14:paraId="1A5F9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DFE0F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工作成果</w:t>
            </w:r>
          </w:p>
        </w:tc>
        <w:tc>
          <w:tcPr>
            <w:tcW w:w="49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84A3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项目贡献、问题解决数量</w:t>
            </w:r>
          </w:p>
        </w:tc>
        <w:tc>
          <w:tcPr>
            <w:tcW w:w="19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F09B6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业绩评审</w:t>
            </w:r>
          </w:p>
        </w:tc>
      </w:tr>
    </w:tbl>
    <w:p w14:paraId="6270C28C">
      <w:pPr>
        <w:pStyle w:val="29"/>
        <w:bidi w:val="0"/>
        <w:rPr>
          <w:rFonts w:hint="default"/>
          <w:lang w:val="en-US" w:eastAsia="zh-CN"/>
        </w:rPr>
      </w:pPr>
      <w:r>
        <w:t>评定目标</w:t>
      </w:r>
      <w:r>
        <w:rPr>
          <w:rFonts w:hint="default"/>
        </w:rPr>
        <w:t>：技能评定合格率≥95%，各岗位技能等级与岗位说明书匹配</w:t>
      </w:r>
    </w:p>
    <w:p w14:paraId="7B2AD6FF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13" w:name="_Toc27934"/>
      <w:r>
        <w:rPr>
          <w:rFonts w:hint="default"/>
          <w:lang w:val="en-US" w:eastAsia="zh-CN"/>
        </w:rPr>
        <w:t>2026年人员备份计划</w:t>
      </w:r>
      <w:bookmarkEnd w:id="13"/>
    </w:p>
    <w:p w14:paraId="62726FE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关键岗位AB岗备份安排如下：</w:t>
      </w:r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0"/>
        <w:gridCol w:w="1664"/>
        <w:gridCol w:w="1881"/>
        <w:gridCol w:w="3210"/>
      </w:tblGrid>
      <w:tr w14:paraId="2900A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74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532A5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关键岗位</w:t>
            </w:r>
          </w:p>
        </w:tc>
        <w:tc>
          <w:tcPr>
            <w:tcW w:w="166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53E5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主要备份人</w:t>
            </w:r>
          </w:p>
        </w:tc>
        <w:tc>
          <w:tcPr>
            <w:tcW w:w="188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052B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次要备份人</w:t>
            </w:r>
          </w:p>
        </w:tc>
        <w:tc>
          <w:tcPr>
            <w:tcW w:w="321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9DFC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工作交接内容</w:t>
            </w:r>
          </w:p>
        </w:tc>
      </w:tr>
      <w:tr w14:paraId="2CC85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3BB70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16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BBD49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</w:p>
        </w:tc>
        <w:tc>
          <w:tcPr>
            <w:tcW w:w="18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87A0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技术研发部经理</w:t>
            </w:r>
          </w:p>
        </w:tc>
        <w:tc>
          <w:tcPr>
            <w:tcW w:w="32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37F85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核心联系人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审批权限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应急指挥权限</w:t>
            </w:r>
          </w:p>
        </w:tc>
      </w:tr>
      <w:tr w14:paraId="15E76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E5AE6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技术研发部经理</w:t>
            </w:r>
          </w:p>
        </w:tc>
        <w:tc>
          <w:tcPr>
            <w:tcW w:w="16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ECE2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开发工程师</w:t>
            </w:r>
          </w:p>
        </w:tc>
        <w:tc>
          <w:tcPr>
            <w:tcW w:w="18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02EB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32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3DEA9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系统架构文档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代码仓库权限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研发进度跟踪</w:t>
            </w:r>
          </w:p>
        </w:tc>
      </w:tr>
      <w:tr w14:paraId="441E6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EAB71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质量部经理</w:t>
            </w:r>
          </w:p>
        </w:tc>
        <w:tc>
          <w:tcPr>
            <w:tcW w:w="16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B410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质量管理专员</w:t>
            </w:r>
          </w:p>
        </w:tc>
        <w:tc>
          <w:tcPr>
            <w:tcW w:w="18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3B31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32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BFDAF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质量数据统计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内审计划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改进跟踪</w:t>
            </w:r>
          </w:p>
        </w:tc>
      </w:tr>
      <w:tr w14:paraId="1C7B6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4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6BC84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采购专员</w:t>
            </w:r>
          </w:p>
        </w:tc>
        <w:tc>
          <w:tcPr>
            <w:tcW w:w="16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3F8D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采购部经理</w:t>
            </w:r>
          </w:p>
        </w:tc>
        <w:tc>
          <w:tcPr>
            <w:tcW w:w="18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4E63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备品备件管理员</w:t>
            </w:r>
          </w:p>
        </w:tc>
        <w:tc>
          <w:tcPr>
            <w:tcW w:w="32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E1AD5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供应商联络表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采购清单</w:t>
            </w:r>
          </w:p>
        </w:tc>
      </w:tr>
    </w:tbl>
    <w:p w14:paraId="3DA21F6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备份要求：</w:t>
      </w:r>
    </w:p>
    <w:p w14:paraId="349856A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备份人员需掌握所备份岗位的核心工作流程</w:t>
      </w:r>
    </w:p>
    <w:p w14:paraId="13E349A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每半年组织一次备份人员交叉培训</w:t>
      </w:r>
    </w:p>
    <w:p w14:paraId="0EA72D2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备份人员每年至少参与一次实际接替演练</w:t>
      </w:r>
    </w:p>
    <w:p w14:paraId="19E09B9D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14" w:name="_Toc31607"/>
      <w:r>
        <w:rPr>
          <w:rFonts w:hint="default"/>
          <w:lang w:val="en-US" w:eastAsia="zh-CN"/>
        </w:rPr>
        <w:t>资源保障</w:t>
      </w:r>
      <w:bookmarkEnd w:id="14"/>
    </w:p>
    <w:p w14:paraId="32C9F18F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15" w:name="_Toc1179"/>
      <w:r>
        <w:rPr>
          <w:rFonts w:hint="default"/>
          <w:lang w:val="en-US" w:eastAsia="zh-CN"/>
        </w:rPr>
        <w:t>人员保障</w:t>
      </w:r>
      <w:bookmarkEnd w:id="15"/>
    </w:p>
    <w:p w14:paraId="3F5A49B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综合管理部配备专职招聘专员1名、培训专员1名</w:t>
      </w:r>
    </w:p>
    <w:p w14:paraId="654407F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各部门负责人作为本部门人员管理第一责任人</w:t>
      </w:r>
    </w:p>
    <w:p w14:paraId="00B13A38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16" w:name="_Toc29970"/>
      <w:r>
        <w:rPr>
          <w:rFonts w:hint="default"/>
          <w:lang w:val="en-US" w:eastAsia="zh-CN"/>
        </w:rPr>
        <w:t>经费保障</w:t>
      </w:r>
      <w:bookmarkEnd w:id="16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1"/>
        <w:gridCol w:w="2283"/>
        <w:gridCol w:w="4791"/>
      </w:tblGrid>
      <w:tr w14:paraId="46158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33047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3513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预算（万元）</w:t>
            </w:r>
          </w:p>
        </w:tc>
        <w:tc>
          <w:tcPr>
            <w:tcW w:w="479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FDCA2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 w14:paraId="13211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04329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招聘费用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CC2B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2.0</w:t>
            </w:r>
          </w:p>
        </w:tc>
        <w:tc>
          <w:tcPr>
            <w:tcW w:w="47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55C54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招聘平台、猎头服务、招聘会</w:t>
            </w:r>
          </w:p>
        </w:tc>
      </w:tr>
      <w:tr w14:paraId="774E8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093B4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培训费用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36D9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8.0</w:t>
            </w:r>
          </w:p>
        </w:tc>
        <w:tc>
          <w:tcPr>
            <w:tcW w:w="47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5EABB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外部培训、认证考试、内部讲师课酬</w:t>
            </w:r>
          </w:p>
        </w:tc>
      </w:tr>
      <w:tr w14:paraId="31FAD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4A78A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绩效奖励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E856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10.0</w:t>
            </w:r>
          </w:p>
        </w:tc>
        <w:tc>
          <w:tcPr>
            <w:tcW w:w="47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76135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年度绩效奖金、优秀员工奖励</w:t>
            </w:r>
          </w:p>
        </w:tc>
      </w:tr>
      <w:tr w14:paraId="09E7E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EEE60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合计</w:t>
            </w:r>
          </w:p>
        </w:tc>
        <w:tc>
          <w:tcPr>
            <w:tcW w:w="22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9A14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20.0</w:t>
            </w:r>
          </w:p>
        </w:tc>
        <w:tc>
          <w:tcPr>
            <w:tcW w:w="47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E82A1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</w:p>
        </w:tc>
      </w:tr>
    </w:tbl>
    <w:p w14:paraId="3CD43C06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17" w:name="_Toc18105"/>
      <w:r>
        <w:rPr>
          <w:rFonts w:hint="default"/>
          <w:lang w:val="en-US" w:eastAsia="zh-CN"/>
        </w:rPr>
        <w:t>附件</w:t>
      </w:r>
      <w:bookmarkEnd w:id="17"/>
    </w:p>
    <w:p w14:paraId="70F86F0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《2026年人员招聘计划表》</w:t>
      </w:r>
    </w:p>
    <w:p w14:paraId="3FCF355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《2026年人员储备计划表》</w:t>
      </w:r>
    </w:p>
    <w:p w14:paraId="041E6B8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《2026年人员培训计划表》</w:t>
      </w:r>
    </w:p>
    <w:p w14:paraId="0D1C9CF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《2026年关键岗位备份表》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D6D2DB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C15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1404</Words>
  <Characters>1650</Characters>
  <Lines>0</Lines>
  <Paragraphs>0</Paragraphs>
  <TotalTime>2</TotalTime>
  <ScaleCrop>false</ScaleCrop>
  <LinksUpToDate>false</LinksUpToDate>
  <CharactersWithSpaces>1729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2026-03-22T10:51:20Z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