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647"/>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21305"/>
      <w:r>
        <w:rPr>
          <w:rFonts w:hint="eastAsia"/>
          <w:lang w:val="en-US" w:eastAsia="zh-CN"/>
        </w:rPr>
        <w:t>过程框架管理制度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12"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_Toc16647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_Toc16647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_Toc21305 </w:instrText>
          </w:r>
          <w:r>
            <w:rPr>
              <w:rFonts w:ascii="宋体" w:eastAsia="宋体" w:hAnsi="宋体" w:cs="宋体" w:hint="eastAsia"/>
              <w:szCs w:val="24"/>
            </w:rPr>
            <w:fldChar w:fldCharType="separate"/>
          </w:r>
          <w:r>
            <w:rPr>
              <w:rFonts w:hint="eastAsia"/>
              <w:lang w:val="en-US" w:eastAsia="zh-CN"/>
            </w:rPr>
            <w:t>过程框架管理制度</w:t>
          </w:r>
          <w:r>
            <w:tab/>
          </w:r>
          <w:r>
            <w:fldChar w:fldCharType="begin"/>
          </w:r>
          <w:r>
            <w:instrText xml:space="preserve"> PAGEREF _Toc21305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_Toc30055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_Toc30055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_Toc25343 </w:instrText>
          </w:r>
          <w:r>
            <w:rPr>
              <w:rFonts w:ascii="宋体" w:eastAsia="宋体" w:hAnsi="宋体" w:cs="宋体" w:hint="eastAsia"/>
              <w:szCs w:val="24"/>
            </w:rPr>
            <w:fldChar w:fldCharType="separate"/>
          </w:r>
          <w:r>
            <w:rPr>
              <w:rFonts w:hint="default"/>
            </w:rPr>
            <w:t xml:space="preserve">1.1. </w:t>
          </w:r>
          <w:r>
            <w:rPr>
              <w:rFonts w:hint="eastAsia"/>
            </w:rPr>
            <w:t>目的</w:t>
          </w:r>
          <w:r>
            <w:tab/>
          </w:r>
          <w:r>
            <w:fldChar w:fldCharType="begin"/>
          </w:r>
          <w:r>
            <w:instrText xml:space="preserve"> PAGEREF _Toc25343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_Toc17027 </w:instrText>
          </w:r>
          <w:r>
            <w:rPr>
              <w:rFonts w:ascii="宋体" w:eastAsia="宋体" w:hAnsi="宋体" w:cs="宋体" w:hint="eastAsia"/>
              <w:szCs w:val="24"/>
            </w:rPr>
            <w:fldChar w:fldCharType="separate"/>
          </w:r>
          <w:r>
            <w:rPr>
              <w:rFonts w:hint="default"/>
            </w:rPr>
            <w:t xml:space="preserve">1.2. </w:t>
          </w:r>
          <w:r>
            <w:rPr>
              <w:rFonts w:hint="eastAsia"/>
            </w:rPr>
            <w:t>适用范围</w:t>
          </w:r>
          <w:r>
            <w:tab/>
          </w:r>
          <w:r>
            <w:fldChar w:fldCharType="begin"/>
          </w:r>
          <w:r>
            <w:instrText xml:space="preserve"> PAGEREF _Toc17027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_Toc32003 </w:instrText>
          </w:r>
          <w:r>
            <w:rPr>
              <w:rFonts w:ascii="宋体" w:eastAsia="宋体" w:hAnsi="宋体" w:cs="宋体" w:hint="eastAsia"/>
              <w:szCs w:val="24"/>
            </w:rPr>
            <w:fldChar w:fldCharType="separate"/>
          </w:r>
          <w:r>
            <w:rPr>
              <w:rFonts w:hint="default"/>
            </w:rPr>
            <w:t xml:space="preserve">1.3. </w:t>
          </w:r>
          <w:r>
            <w:rPr>
              <w:rFonts w:hint="eastAsia"/>
            </w:rPr>
            <w:t>原则</w:t>
          </w:r>
          <w:r>
            <w:tab/>
          </w:r>
          <w:r>
            <w:fldChar w:fldCharType="begin"/>
          </w:r>
          <w:r>
            <w:instrText xml:space="preserve"> PAGEREF _Toc32003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_Toc3213 </w:instrText>
          </w:r>
          <w:r>
            <w:rPr>
              <w:rFonts w:ascii="宋体" w:eastAsia="宋体" w:hAnsi="宋体" w:cs="宋体" w:hint="eastAsia"/>
              <w:szCs w:val="24"/>
            </w:rPr>
            <w:fldChar w:fldCharType="separate"/>
          </w:r>
          <w:r>
            <w:rPr>
              <w:rFonts w:hint="default"/>
            </w:rPr>
            <w:t xml:space="preserve">1.4. </w:t>
          </w:r>
          <w:r>
            <w:rPr>
              <w:rFonts w:hint="eastAsia"/>
            </w:rPr>
            <w:t>岗位职责</w:t>
          </w:r>
          <w:r>
            <w:tab/>
          </w:r>
          <w:r>
            <w:fldChar w:fldCharType="begin"/>
          </w:r>
          <w:r>
            <w:instrText xml:space="preserve"> PAGEREF _Toc3213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_Toc576 </w:instrText>
          </w:r>
          <w:r>
            <w:rPr>
              <w:rFonts w:ascii="宋体" w:eastAsia="宋体" w:hAnsi="宋体" w:cs="宋体" w:hint="eastAsia"/>
              <w:szCs w:val="24"/>
            </w:rPr>
            <w:fldChar w:fldCharType="separate"/>
          </w:r>
          <w:r>
            <w:rPr>
              <w:rFonts w:hint="default"/>
            </w:rPr>
            <w:t xml:space="preserve">1.4.1. </w:t>
          </w:r>
          <w:r>
            <w:rPr>
              <w:rFonts w:hint="eastAsia"/>
            </w:rPr>
            <w:t>运维部</w:t>
          </w:r>
          <w:r>
            <w:tab/>
          </w:r>
          <w:r>
            <w:fldChar w:fldCharType="begin"/>
          </w:r>
          <w:r>
            <w:instrText xml:space="preserve"> PAGEREF _Toc576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_Toc20446 </w:instrText>
          </w:r>
          <w:r>
            <w:rPr>
              <w:rFonts w:ascii="宋体" w:eastAsia="宋体" w:hAnsi="宋体" w:cs="宋体" w:hint="eastAsia"/>
              <w:szCs w:val="24"/>
            </w:rPr>
            <w:fldChar w:fldCharType="separate"/>
          </w:r>
          <w:r>
            <w:rPr>
              <w:rFonts w:hint="default"/>
            </w:rPr>
            <w:t xml:space="preserve">1.4.2. </w:t>
          </w:r>
          <w:r>
            <w:rPr>
              <w:rFonts w:hint="eastAsia"/>
            </w:rPr>
            <w:t>质量部</w:t>
          </w:r>
          <w:r>
            <w:tab/>
          </w:r>
          <w:r>
            <w:fldChar w:fldCharType="begin"/>
          </w:r>
          <w:r>
            <w:instrText xml:space="preserve"> PAGEREF _Toc20446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_Toc18385 </w:instrText>
          </w:r>
          <w:r>
            <w:rPr>
              <w:rFonts w:ascii="宋体" w:eastAsia="宋体" w:hAnsi="宋体" w:cs="宋体" w:hint="eastAsia"/>
              <w:szCs w:val="24"/>
            </w:rPr>
            <w:fldChar w:fldCharType="separate"/>
          </w:r>
          <w:r>
            <w:rPr>
              <w:rFonts w:hint="default"/>
            </w:rPr>
            <w:t xml:space="preserve">1.4.3. </w:t>
          </w:r>
          <w:r>
            <w:rPr>
              <w:rFonts w:hint="eastAsia"/>
              <w:lang w:val="en-US" w:eastAsia="zh-CN"/>
            </w:rPr>
            <w:t>其他运维相关</w:t>
          </w:r>
          <w:r>
            <w:rPr>
              <w:rFonts w:hint="eastAsia"/>
            </w:rPr>
            <w:t>部门</w:t>
          </w:r>
          <w:r>
            <w:tab/>
          </w:r>
          <w:r>
            <w:fldChar w:fldCharType="begin"/>
          </w:r>
          <w:r>
            <w:instrText xml:space="preserve"> PAGEREF _Toc18385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_Toc14018 </w:instrText>
          </w:r>
          <w:r>
            <w:rPr>
              <w:rFonts w:ascii="宋体" w:eastAsia="宋体" w:hAnsi="宋体" w:cs="宋体" w:hint="eastAsia"/>
              <w:szCs w:val="24"/>
            </w:rPr>
            <w:fldChar w:fldCharType="separate"/>
          </w:r>
          <w:r>
            <w:rPr>
              <w:rFonts w:hint="default"/>
            </w:rPr>
            <w:t xml:space="preserve">1.4.4. </w:t>
          </w:r>
          <w:r>
            <w:rPr>
              <w:rFonts w:hint="eastAsia"/>
            </w:rPr>
            <w:t>综合管理部</w:t>
          </w:r>
          <w:r>
            <w:tab/>
          </w:r>
          <w:r>
            <w:fldChar w:fldCharType="begin"/>
          </w:r>
          <w:r>
            <w:instrText xml:space="preserve"> PAGEREF _Toc14018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_Toc14848 </w:instrText>
          </w:r>
          <w:r>
            <w:rPr>
              <w:rFonts w:ascii="宋体" w:eastAsia="宋体" w:hAnsi="宋体" w:cs="宋体" w:hint="eastAsia"/>
              <w:szCs w:val="24"/>
            </w:rPr>
            <w:fldChar w:fldCharType="separate"/>
          </w:r>
          <w:r>
            <w:rPr>
              <w:rFonts w:hint="default"/>
            </w:rPr>
            <w:t xml:space="preserve">2. </w:t>
          </w:r>
          <w:r>
            <w:rPr>
              <w:rFonts w:hint="eastAsia"/>
            </w:rPr>
            <w:t>引用依据</w:t>
          </w:r>
          <w:r>
            <w:tab/>
          </w:r>
          <w:r>
            <w:fldChar w:fldCharType="begin"/>
          </w:r>
          <w:r>
            <w:instrText xml:space="preserve"> PAGEREF _Toc14848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_Toc708 </w:instrText>
          </w:r>
          <w:r>
            <w:rPr>
              <w:rFonts w:ascii="宋体" w:eastAsia="宋体" w:hAnsi="宋体" w:cs="宋体" w:hint="eastAsia"/>
              <w:szCs w:val="24"/>
            </w:rPr>
            <w:fldChar w:fldCharType="separate"/>
          </w:r>
          <w:r>
            <w:rPr>
              <w:rFonts w:hint="default"/>
            </w:rPr>
            <w:t xml:space="preserve">3. </w:t>
          </w:r>
          <w:r>
            <w:rPr>
              <w:rFonts w:hint="eastAsia"/>
            </w:rPr>
            <w:t>定义与术语</w:t>
          </w:r>
          <w:r>
            <w:tab/>
          </w:r>
          <w:r>
            <w:fldChar w:fldCharType="begin"/>
          </w:r>
          <w:r>
            <w:instrText xml:space="preserve"> PAGEREF _Toc708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_Toc10480 </w:instrText>
          </w:r>
          <w:r>
            <w:rPr>
              <w:rFonts w:ascii="宋体" w:eastAsia="宋体" w:hAnsi="宋体" w:cs="宋体" w:hint="eastAsia"/>
              <w:szCs w:val="24"/>
            </w:rPr>
            <w:fldChar w:fldCharType="separate"/>
          </w:r>
          <w:r>
            <w:rPr>
              <w:rFonts w:hint="default"/>
            </w:rPr>
            <w:t xml:space="preserve">3.1. </w:t>
          </w:r>
          <w:r>
            <w:rPr>
              <w:rFonts w:hint="eastAsia"/>
            </w:rPr>
            <w:t>过程框架</w:t>
          </w:r>
          <w:r>
            <w:tab/>
          </w:r>
          <w:r>
            <w:fldChar w:fldCharType="begin"/>
          </w:r>
          <w:r>
            <w:instrText xml:space="preserve"> PAGEREF _Toc10480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_Toc3380 </w:instrText>
          </w:r>
          <w:r>
            <w:rPr>
              <w:rFonts w:ascii="宋体" w:eastAsia="宋体" w:hAnsi="宋体" w:cs="宋体" w:hint="eastAsia"/>
              <w:szCs w:val="24"/>
            </w:rPr>
            <w:fldChar w:fldCharType="separate"/>
          </w:r>
          <w:r>
            <w:rPr>
              <w:rFonts w:hint="default"/>
            </w:rPr>
            <w:t xml:space="preserve">3.2. </w:t>
          </w:r>
          <w:r>
            <w:rPr>
              <w:rFonts w:hint="eastAsia"/>
            </w:rPr>
            <w:t>过程资产库</w:t>
          </w:r>
          <w:r>
            <w:tab/>
          </w:r>
          <w:r>
            <w:fldChar w:fldCharType="begin"/>
          </w:r>
          <w:r>
            <w:instrText xml:space="preserve"> PAGEREF _Toc3380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_Toc4993 </w:instrText>
          </w:r>
          <w:r>
            <w:rPr>
              <w:rFonts w:ascii="宋体" w:eastAsia="宋体" w:hAnsi="宋体" w:cs="宋体" w:hint="eastAsia"/>
              <w:szCs w:val="24"/>
            </w:rPr>
            <w:fldChar w:fldCharType="separate"/>
          </w:r>
          <w:r>
            <w:rPr>
              <w:rFonts w:hint="default"/>
            </w:rPr>
            <w:t xml:space="preserve">3.3. </w:t>
          </w:r>
          <w:r>
            <w:rPr>
              <w:rFonts w:hint="eastAsia"/>
            </w:rPr>
            <w:t>过程KPI（关键绩效指标）</w:t>
          </w:r>
          <w:r>
            <w:tab/>
          </w:r>
          <w:r>
            <w:fldChar w:fldCharType="begin"/>
          </w:r>
          <w:r>
            <w:instrText xml:space="preserve"> PAGEREF _Toc4993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 </w:instrText>
          </w:r>
          <w:r>
            <w:rPr>
              <w:rFonts w:ascii="宋体" w:eastAsia="宋体" w:hAnsi="宋体" w:cs="宋体" w:hint="eastAsia"/>
              <w:szCs w:val="24"/>
            </w:rPr>
            <w:fldChar w:fldCharType="separate"/>
          </w:r>
          <w:r>
            <w:rPr>
              <w:rFonts w:hint="default"/>
            </w:rPr>
            <w:t xml:space="preserve">4. </w:t>
          </w:r>
          <w:r>
            <w:rPr>
              <w:rFonts w:hint="eastAsia"/>
            </w:rPr>
            <w:t>管理内容与要求</w:t>
          </w:r>
          <w:r>
            <w:tab/>
          </w:r>
          <w:r>
            <w:fldChar w:fldCharType="begin"/>
          </w:r>
          <w:r>
            <w:instrText xml:space="preserve"> PAGEREF _Toc252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_Toc10842 </w:instrText>
          </w:r>
          <w:r>
            <w:rPr>
              <w:rFonts w:ascii="宋体" w:eastAsia="宋体" w:hAnsi="宋体" w:cs="宋体" w:hint="eastAsia"/>
              <w:szCs w:val="24"/>
            </w:rPr>
            <w:fldChar w:fldCharType="separate"/>
          </w:r>
          <w:r>
            <w:rPr>
              <w:rFonts w:hint="default"/>
            </w:rPr>
            <w:t xml:space="preserve">4.1. </w:t>
          </w:r>
          <w:r>
            <w:rPr>
              <w:rFonts w:hint="eastAsia"/>
            </w:rPr>
            <w:t>过程框架的构成</w:t>
          </w:r>
          <w:r>
            <w:tab/>
          </w:r>
          <w:r>
            <w:fldChar w:fldCharType="begin"/>
          </w:r>
          <w:r>
            <w:instrText xml:space="preserve"> PAGEREF _Toc10842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_Toc16383 </w:instrText>
          </w:r>
          <w:r>
            <w:rPr>
              <w:rFonts w:ascii="宋体" w:eastAsia="宋体" w:hAnsi="宋体" w:cs="宋体" w:hint="eastAsia"/>
              <w:szCs w:val="24"/>
            </w:rPr>
            <w:fldChar w:fldCharType="separate"/>
          </w:r>
          <w:r>
            <w:rPr>
              <w:rFonts w:hint="default"/>
            </w:rPr>
            <w:t xml:space="preserve">4.1.1. </w:t>
          </w:r>
          <w:r>
            <w:rPr>
              <w:rFonts w:hint="eastAsia"/>
            </w:rPr>
            <w:t>战略与治理过程</w:t>
          </w:r>
          <w:r>
            <w:tab/>
          </w:r>
          <w:r>
            <w:fldChar w:fldCharType="begin"/>
          </w:r>
          <w:r>
            <w:instrText xml:space="preserve"> PAGEREF _Toc16383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_Toc21569 </w:instrText>
          </w:r>
          <w:r>
            <w:rPr>
              <w:rFonts w:ascii="宋体" w:eastAsia="宋体" w:hAnsi="宋体" w:cs="宋体" w:hint="eastAsia"/>
              <w:szCs w:val="24"/>
            </w:rPr>
            <w:fldChar w:fldCharType="separate"/>
          </w:r>
          <w:r>
            <w:rPr>
              <w:rFonts w:hint="default"/>
            </w:rPr>
            <w:t xml:space="preserve">4.1.2. </w:t>
          </w:r>
          <w:r>
            <w:rPr>
              <w:rFonts w:hint="eastAsia"/>
            </w:rPr>
            <w:t>核心交付与运营过程</w:t>
          </w:r>
          <w:r>
            <w:tab/>
          </w:r>
          <w:r>
            <w:fldChar w:fldCharType="begin"/>
          </w:r>
          <w:r>
            <w:instrText xml:space="preserve"> PAGEREF _Toc21569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_Toc14490 </w:instrText>
          </w:r>
          <w:r>
            <w:rPr>
              <w:rFonts w:ascii="宋体" w:eastAsia="宋体" w:hAnsi="宋体" w:cs="宋体" w:hint="eastAsia"/>
              <w:szCs w:val="24"/>
            </w:rPr>
            <w:fldChar w:fldCharType="separate"/>
          </w:r>
          <w:r>
            <w:rPr>
              <w:rFonts w:hint="default"/>
            </w:rPr>
            <w:t xml:space="preserve">4.1.3. </w:t>
          </w:r>
          <w:r>
            <w:rPr>
              <w:rFonts w:hint="eastAsia"/>
            </w:rPr>
            <w:t>支持保障过程</w:t>
          </w:r>
          <w:r>
            <w:tab/>
          </w:r>
          <w:r>
            <w:fldChar w:fldCharType="begin"/>
          </w:r>
          <w:r>
            <w:instrText xml:space="preserve"> PAGEREF _Toc14490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_Toc1571 </w:instrText>
          </w:r>
          <w:r>
            <w:rPr>
              <w:rFonts w:ascii="宋体" w:eastAsia="宋体" w:hAnsi="宋体" w:cs="宋体" w:hint="eastAsia"/>
              <w:szCs w:val="24"/>
            </w:rPr>
            <w:fldChar w:fldCharType="separate"/>
          </w:r>
          <w:r>
            <w:rPr>
              <w:rFonts w:hint="default"/>
            </w:rPr>
            <w:t xml:space="preserve">4.1.4. </w:t>
          </w:r>
          <w:r>
            <w:rPr>
              <w:rFonts w:hint="eastAsia"/>
            </w:rPr>
            <w:t>测量与改进过程</w:t>
          </w:r>
          <w:r>
            <w:tab/>
          </w:r>
          <w:r>
            <w:fldChar w:fldCharType="begin"/>
          </w:r>
          <w:r>
            <w:instrText xml:space="preserve"> PAGEREF _Toc1571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_Toc21502 </w:instrText>
          </w:r>
          <w:r>
            <w:rPr>
              <w:rFonts w:ascii="宋体" w:eastAsia="宋体" w:hAnsi="宋体" w:cs="宋体" w:hint="eastAsia"/>
              <w:szCs w:val="24"/>
            </w:rPr>
            <w:fldChar w:fldCharType="separate"/>
          </w:r>
          <w:r>
            <w:rPr>
              <w:rFonts w:hint="default"/>
            </w:rPr>
            <w:t xml:space="preserve">4.2. </w:t>
          </w:r>
          <w:r>
            <w:rPr>
              <w:rFonts w:hint="eastAsia"/>
            </w:rPr>
            <w:t>过程间关系与接口管理</w:t>
          </w:r>
          <w:r>
            <w:tab/>
          </w:r>
          <w:r>
            <w:fldChar w:fldCharType="begin"/>
          </w:r>
          <w:r>
            <w:instrText xml:space="preserve"> PAGEREF _Toc21502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_Toc5246 </w:instrText>
          </w:r>
          <w:r>
            <w:rPr>
              <w:rFonts w:ascii="宋体" w:eastAsia="宋体" w:hAnsi="宋体" w:cs="宋体" w:hint="eastAsia"/>
              <w:szCs w:val="24"/>
            </w:rPr>
            <w:fldChar w:fldCharType="separate"/>
          </w:r>
          <w:r>
            <w:rPr>
              <w:rFonts w:hint="default"/>
            </w:rPr>
            <w:t xml:space="preserve">4.2.1. </w:t>
          </w:r>
          <w:r>
            <w:rPr>
              <w:rFonts w:hint="eastAsia"/>
            </w:rPr>
            <w:t>过程交互机制</w:t>
          </w:r>
          <w:r>
            <w:tab/>
          </w:r>
          <w:r>
            <w:fldChar w:fldCharType="begin"/>
          </w:r>
          <w:r>
            <w:instrText xml:space="preserve"> PAGEREF _Toc5246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_Toc11382 </w:instrText>
          </w:r>
          <w:r>
            <w:rPr>
              <w:rFonts w:ascii="宋体" w:eastAsia="宋体" w:hAnsi="宋体" w:cs="宋体" w:hint="eastAsia"/>
              <w:szCs w:val="24"/>
            </w:rPr>
            <w:fldChar w:fldCharType="separate"/>
          </w:r>
          <w:r>
            <w:rPr>
              <w:rFonts w:hint="default"/>
            </w:rPr>
            <w:t xml:space="preserve">4.2.2. </w:t>
          </w:r>
          <w:r>
            <w:rPr>
              <w:rFonts w:hint="eastAsia"/>
            </w:rPr>
            <w:t>跨部门协作机制</w:t>
          </w:r>
          <w:r>
            <w:tab/>
          </w:r>
          <w:r>
            <w:fldChar w:fldCharType="begin"/>
          </w:r>
          <w:r>
            <w:instrText xml:space="preserve"> PAGEREF _Toc11382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_Toc4371 </w:instrText>
          </w:r>
          <w:r>
            <w:rPr>
              <w:rFonts w:ascii="宋体" w:eastAsia="宋体" w:hAnsi="宋体" w:cs="宋体" w:hint="eastAsia"/>
              <w:szCs w:val="24"/>
            </w:rPr>
            <w:fldChar w:fldCharType="separate"/>
          </w:r>
          <w:r>
            <w:rPr>
              <w:rFonts w:hint="default"/>
            </w:rPr>
            <w:t xml:space="preserve">4.3. </w:t>
          </w:r>
          <w:r>
            <w:rPr>
              <w:rFonts w:hint="eastAsia"/>
            </w:rPr>
            <w:t>过程的建立与变更</w:t>
          </w:r>
          <w:r>
            <w:tab/>
          </w:r>
          <w:r>
            <w:fldChar w:fldCharType="begin"/>
          </w:r>
          <w:r>
            <w:instrText xml:space="preserve"> PAGEREF _Toc4371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_Toc29408 </w:instrText>
          </w:r>
          <w:r>
            <w:rPr>
              <w:rFonts w:ascii="宋体" w:eastAsia="宋体" w:hAnsi="宋体" w:cs="宋体" w:hint="eastAsia"/>
              <w:szCs w:val="24"/>
            </w:rPr>
            <w:fldChar w:fldCharType="separate"/>
          </w:r>
          <w:r>
            <w:rPr>
              <w:rFonts w:hint="default"/>
            </w:rPr>
            <w:t xml:space="preserve">4.3.1. </w:t>
          </w:r>
          <w:r>
            <w:rPr>
              <w:rFonts w:hint="eastAsia"/>
            </w:rPr>
            <w:t>新过程建立流程</w:t>
          </w:r>
          <w:r>
            <w:tab/>
          </w:r>
          <w:r>
            <w:fldChar w:fldCharType="begin"/>
          </w:r>
          <w:r>
            <w:instrText xml:space="preserve"> PAGEREF _Toc29408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_Toc7930 </w:instrText>
          </w:r>
          <w:r>
            <w:rPr>
              <w:rFonts w:ascii="宋体" w:eastAsia="宋体" w:hAnsi="宋体" w:cs="宋体" w:hint="eastAsia"/>
              <w:szCs w:val="24"/>
            </w:rPr>
            <w:fldChar w:fldCharType="separate"/>
          </w:r>
          <w:r>
            <w:rPr>
              <w:rFonts w:hint="default"/>
            </w:rPr>
            <w:t xml:space="preserve">4.3.2. </w:t>
          </w:r>
          <w:r>
            <w:rPr>
              <w:rFonts w:hint="eastAsia"/>
            </w:rPr>
            <w:t>过程变更管理</w:t>
          </w:r>
          <w:r>
            <w:tab/>
          </w:r>
          <w:r>
            <w:fldChar w:fldCharType="begin"/>
          </w:r>
          <w:r>
            <w:instrText xml:space="preserve"> PAGEREF _Toc7930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_Toc25820 </w:instrText>
          </w:r>
          <w:r>
            <w:rPr>
              <w:rFonts w:ascii="宋体" w:eastAsia="宋体" w:hAnsi="宋体" w:cs="宋体" w:hint="eastAsia"/>
              <w:szCs w:val="24"/>
            </w:rPr>
            <w:fldChar w:fldCharType="separate"/>
          </w:r>
          <w:r>
            <w:rPr>
              <w:rFonts w:hint="default"/>
            </w:rPr>
            <w:t xml:space="preserve">4.4. </w:t>
          </w:r>
          <w:r>
            <w:rPr>
              <w:rFonts w:hint="eastAsia"/>
            </w:rPr>
            <w:t>过程的评审与改进</w:t>
          </w:r>
          <w:r>
            <w:tab/>
          </w:r>
          <w:r>
            <w:fldChar w:fldCharType="begin"/>
          </w:r>
          <w:r>
            <w:instrText xml:space="preserve"> PAGEREF _Toc25820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_Toc14485 </w:instrText>
          </w:r>
          <w:r>
            <w:rPr>
              <w:rFonts w:ascii="宋体" w:eastAsia="宋体" w:hAnsi="宋体" w:cs="宋体" w:hint="eastAsia"/>
              <w:szCs w:val="24"/>
            </w:rPr>
            <w:fldChar w:fldCharType="separate"/>
          </w:r>
          <w:r>
            <w:rPr>
              <w:rFonts w:hint="default"/>
            </w:rPr>
            <w:t xml:space="preserve">4.4.1. </w:t>
          </w:r>
          <w:r>
            <w:rPr>
              <w:rFonts w:hint="eastAsia"/>
            </w:rPr>
            <w:t>过程执行要求</w:t>
          </w:r>
          <w:r>
            <w:tab/>
          </w:r>
          <w:r>
            <w:fldChar w:fldCharType="begin"/>
          </w:r>
          <w:r>
            <w:instrText xml:space="preserve"> PAGEREF _Toc14485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_Toc382 </w:instrText>
          </w:r>
          <w:r>
            <w:rPr>
              <w:rFonts w:ascii="宋体" w:eastAsia="宋体" w:hAnsi="宋体" w:cs="宋体" w:hint="eastAsia"/>
              <w:szCs w:val="24"/>
            </w:rPr>
            <w:fldChar w:fldCharType="separate"/>
          </w:r>
          <w:r>
            <w:rPr>
              <w:rFonts w:hint="default"/>
            </w:rPr>
            <w:t xml:space="preserve">4.4.2. </w:t>
          </w:r>
          <w:r>
            <w:rPr>
              <w:rFonts w:hint="eastAsia"/>
            </w:rPr>
            <w:t>过程监督机制</w:t>
          </w:r>
          <w:r>
            <w:tab/>
          </w:r>
          <w:r>
            <w:fldChar w:fldCharType="begin"/>
          </w:r>
          <w:r>
            <w:instrText xml:space="preserve"> PAGEREF _Toc382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_Toc32252 </w:instrText>
          </w:r>
          <w:r>
            <w:rPr>
              <w:rFonts w:ascii="宋体" w:eastAsia="宋体" w:hAnsi="宋体" w:cs="宋体" w:hint="eastAsia"/>
              <w:szCs w:val="24"/>
            </w:rPr>
            <w:fldChar w:fldCharType="separate"/>
          </w:r>
          <w:r>
            <w:rPr>
              <w:rFonts w:hint="default"/>
            </w:rPr>
            <w:t xml:space="preserve">4.5. </w:t>
          </w:r>
          <w:r>
            <w:rPr>
              <w:rFonts w:hint="eastAsia"/>
            </w:rPr>
            <w:t>过程的监控与测量</w:t>
          </w:r>
          <w:r>
            <w:tab/>
          </w:r>
          <w:r>
            <w:fldChar w:fldCharType="begin"/>
          </w:r>
          <w:r>
            <w:instrText xml:space="preserve"> PAGEREF _Toc32252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_Toc22661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_Toc22661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_Toc6095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_Toc6095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_Toc28779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_Toc28779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30055"/>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4" w:name="_Toc25343"/>
      <w:r>
        <w:rPr>
          <w:rFonts w:hint="eastAsia"/>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为确立并规范本公司运维服务管理的过程体系，明确各过程的相互关系、接口与协同机制，确保运维服务活动系统化、标准化和持续改进，有效支撑ITSS运维服务能力成熟度目标的实现，特制定本制度。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5" w:name="_Toc17027"/>
      <w:r>
        <w:rPr>
          <w:rFonts w:hint="eastAsia"/>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本制度是公司运维服务管理体系的顶层框架，适用于所有与运维服务相关的部门及人员，包括运维部、技术研发部、质量部、综合管理部及采购部。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6" w:name="_Toc32003"/>
      <w:r>
        <w:rPr>
          <w:rFonts w:hint="eastAsia"/>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战略一致原则：过程框架的设计与运作必须与公司业务战略和运维服务目标保持一致。</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过程方法原则：将相关的资源与活动作为过程进行管理，以更高效地得到期望的结果。</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集成协同原则：确保各过程之间接口清晰、信息畅通、协同运作，形成有机整体。</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持续改进原则：基于监控、测量与评估，推动各过程及整体框架的持续优化。</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7" w:name="_Toc3213"/>
      <w:r>
        <w:rPr>
          <w:rFonts w:hint="eastAsia"/>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8" w:name="_Toc576"/>
      <w:r>
        <w:rPr>
          <w:rFonts w:hint="eastAsia"/>
        </w:rPr>
        <w:t>运维部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作为过程框架的主要执行者和所有者，负责各运维过程的日常运作、执行与反馈。</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9" w:name="_Toc20446"/>
      <w:r>
        <w:rPr>
          <w:rFonts w:hint="eastAsia"/>
        </w:rPr>
        <w:t>质量部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作为过程框架的监督与维护者，负责框架的建立、推广、监督、测量和评审，组织内部审核和管理评审。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0" w:name="_Toc18385"/>
      <w:r>
        <w:rPr>
          <w:rFonts w:hint="eastAsia"/>
          <w:lang w:val="en-US" w:eastAsia="zh-CN"/>
        </w:rPr>
        <w:t>其他运维相关</w:t>
      </w:r>
      <w:r>
        <w:rPr>
          <w:rFonts w:hint="eastAsia"/>
        </w:rPr>
        <w:t>部门</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在框架内履行本部门相关职责，参与协同过程，确保跨部门协作的有效性。</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1" w:name="_Toc14018"/>
      <w:r>
        <w:rPr>
          <w:rFonts w:hint="eastAsia"/>
        </w:rPr>
        <w:t>综合管理部</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负责确保各岗位具备与其过程职责相匹配的能力，并提供必要的培训。</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2" w:name="_Toc14848"/>
      <w:r>
        <w:rPr>
          <w:rFonts w:hint="eastAsia"/>
        </w:rPr>
        <w:t>引用依据</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本制度的制定遵循并引用以下国家标准与行业规范：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708"/>
      <w:r>
        <w:rPr>
          <w:rFonts w:hint="eastAsia"/>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10480"/>
      <w:r>
        <w:rPr>
          <w:rFonts w:hint="eastAsia"/>
        </w:rPr>
        <w:t>过程框架</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指一整套相互关联并相互作用的过程的集合，这些过程为达成运维服务目标提供了结构化的管理方法。</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3380"/>
      <w:r>
        <w:rPr>
          <w:rFonts w:hint="eastAsia"/>
        </w:rPr>
        <w:t>过程资产库</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包含过程文档、模板、指南和经验教训的集合，用于支持和标准化过程的执行与改进。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4993"/>
      <w:r>
        <w:rPr>
          <w:rFonts w:hint="eastAsia"/>
        </w:rPr>
        <w:t>过程KPI（关键绩效指标）</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用于衡量过程绩效和有效性的量化指标。</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252"/>
      <w:r>
        <w:rPr>
          <w:rFonts w:hint="eastAsia"/>
        </w:rPr>
        <w:t>管理内容与要求</w:t>
      </w:r>
      <w:bookmarkEnd w:id="17"/>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10842"/>
      <w:r>
        <w:rPr>
          <w:rFonts w:hint="eastAsia"/>
        </w:rPr>
        <w:t>过程框架的构成</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本公司运维服务过程框架由以下四类过程组构成：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战略与治理过程：包括服务策略管理、服务规划、风险管理、管理体系评审等，确保持续的服务Alignment与合规性。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核心交付与运营过程：包括事件管理、问题管理、变更管理、服务请求管理、服务台运营等，直接面向服务的日常交付与支持。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支持保障过程：包括知识管理、数据管理、软件库管理、工具研发管理、供应商管理等，为核心交付过程提供必要的资源、工具与信息支持。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测量与改进过程：包括服务测量、服务报告、内部审核、管理评审、持续改进等，负责对过程体系进行监控、评估与优化。</w:t>
      </w:r>
    </w:p>
    <w:p>
      <w:pPr>
        <w:pStyle w:val="3"/>
        <w:bidi w:val="0"/>
        <w:rPr>
          <w:rFonts w:hint="eastAsia"/>
        </w:rPr>
      </w:pPr>
      <w:bookmarkStart w:id="19" w:name="_Toc16383"/>
      <w:r>
        <w:rPr>
          <w:rFonts w:hint="eastAsia"/>
        </w:rPr>
        <w:t>战略与治理过程</w:t>
      </w:r>
      <w:bookmarkEnd w:id="1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服务策略管理：制定和维护运维服务战略，确保与业务目标一致</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服务规划：基于业务需求制定服务方案和资源规划</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风险管理：识别、评估和处理体系层面的风险</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管理体系评审：定期评审过程体系的适宜性和有效性</w:t>
      </w:r>
    </w:p>
    <w:p>
      <w:pPr>
        <w:pStyle w:val="3"/>
        <w:bidi w:val="0"/>
        <w:rPr>
          <w:rFonts w:hint="eastAsia"/>
        </w:rPr>
      </w:pPr>
      <w:bookmarkStart w:id="20" w:name="_Toc21569"/>
      <w:r>
        <w:rPr>
          <w:rFonts w:hint="eastAsia"/>
        </w:rPr>
        <w:t>核心交付与运营过程</w:t>
      </w:r>
      <w:bookmarkEnd w:id="20"/>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服务台运营：提供统一的服务接入点和协调中心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事件管理：快速恢复正常的服务运营</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问题管理：识别和消除问题的根本原因</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变更管理：以受控的方式处理所有变更</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服务请求管理：处理标准化的服务请求</w:t>
      </w:r>
    </w:p>
    <w:p>
      <w:pPr>
        <w:pStyle w:val="3"/>
        <w:bidi w:val="0"/>
        <w:rPr>
          <w:rFonts w:hint="eastAsia"/>
        </w:rPr>
      </w:pPr>
      <w:bookmarkStart w:id="21" w:name="_Toc14490"/>
      <w:r>
        <w:rPr>
          <w:rFonts w:hint="eastAsia"/>
        </w:rPr>
        <w:t>支持保障过程</w:t>
      </w:r>
      <w:bookmarkEnd w:id="21"/>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知识管理：收集、分析和共享运维知识</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配置管理：维护准确的配置信息</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容量管理：确保资源满足业务需求</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可用性管理：优化服务的可用性水平</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连续性管理：确保关键服务在中断后能够恢复</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信息安全管理：保护信息的机密性、完整性和可用性</w:t>
      </w:r>
    </w:p>
    <w:p>
      <w:pPr>
        <w:pStyle w:val="3"/>
        <w:bidi w:val="0"/>
        <w:rPr>
          <w:rFonts w:hint="eastAsia"/>
        </w:rPr>
      </w:pPr>
      <w:bookmarkStart w:id="22" w:name="_Toc1571"/>
      <w:r>
        <w:rPr>
          <w:rFonts w:hint="eastAsia"/>
        </w:rPr>
        <w:t>测量与改进过程</w:t>
      </w:r>
      <w:bookmarkEnd w:id="22"/>
    </w:p>
    <w:p>
      <w:pPr>
        <w:pStyle w:val="a1"/>
        <w:numPr>
          <w:ilvl w:val="0"/>
          <w:numId w:val="7"/>
        </w:numPr>
        <w:bidi w:val="0"/>
        <w:ind w:left="425" w:hanging="425" w:leftChars="0" w:firstLineChars="0"/>
        <w:rPr>
          <w:rFonts w:hint="eastAsia"/>
        </w:rPr>
      </w:pPr>
      <w:r>
        <w:rPr>
          <w:rFonts w:hint="eastAsia"/>
        </w:rPr>
        <w:t>服务测量：收集和分析服务绩效数据</w:t>
      </w:r>
    </w:p>
    <w:p>
      <w:pPr>
        <w:pStyle w:val="a1"/>
        <w:numPr>
          <w:ilvl w:val="0"/>
          <w:numId w:val="7"/>
        </w:numPr>
        <w:bidi w:val="0"/>
        <w:ind w:left="425" w:hanging="425" w:leftChars="0" w:firstLineChars="0"/>
        <w:rPr>
          <w:rFonts w:hint="eastAsia"/>
        </w:rPr>
      </w:pPr>
      <w:r>
        <w:rPr>
          <w:rFonts w:hint="eastAsia"/>
        </w:rPr>
        <w:t>服务报告：编制和分发服务报告</w:t>
      </w:r>
    </w:p>
    <w:p>
      <w:pPr>
        <w:pStyle w:val="a1"/>
        <w:numPr>
          <w:ilvl w:val="0"/>
          <w:numId w:val="7"/>
        </w:numPr>
        <w:bidi w:val="0"/>
        <w:ind w:left="425" w:hanging="425" w:leftChars="0" w:firstLineChars="0"/>
        <w:rPr>
          <w:rFonts w:hint="eastAsia"/>
        </w:rPr>
      </w:pPr>
      <w:r>
        <w:rPr>
          <w:rFonts w:hint="eastAsia"/>
        </w:rPr>
        <w:t>内部审核：验证过程执行的符合性</w:t>
      </w:r>
    </w:p>
    <w:p>
      <w:pPr>
        <w:pStyle w:val="a1"/>
        <w:numPr>
          <w:ilvl w:val="0"/>
          <w:numId w:val="7"/>
        </w:numPr>
        <w:bidi w:val="0"/>
        <w:ind w:left="425" w:hanging="425" w:leftChars="0" w:firstLineChars="0"/>
        <w:rPr>
          <w:rFonts w:hint="eastAsia"/>
        </w:rPr>
      </w:pPr>
      <w:r>
        <w:rPr>
          <w:rFonts w:hint="eastAsia"/>
        </w:rPr>
        <w:t>管理评审：评估体系的持续适宜性</w:t>
      </w:r>
    </w:p>
    <w:p>
      <w:pPr>
        <w:pStyle w:val="a1"/>
        <w:numPr>
          <w:ilvl w:val="0"/>
          <w:numId w:val="7"/>
        </w:numPr>
        <w:bidi w:val="0"/>
        <w:ind w:left="425" w:hanging="425" w:leftChars="0" w:firstLineChars="0"/>
        <w:rPr>
          <w:rFonts w:hint="eastAsia"/>
        </w:rPr>
      </w:pPr>
      <w:r>
        <w:rPr>
          <w:rFonts w:hint="eastAsia"/>
        </w:rPr>
        <w:t>持续改进：识别和实施改进机会</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3" w:name="_Toc21502"/>
      <w:r>
        <w:rPr>
          <w:rFonts w:hint="eastAsia"/>
        </w:rPr>
        <w:t>过程间关系与接口管理</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关系定义：各过程间的输入输出关系、信息流和触发条件必须在二级程序文件或流程图中予以明确定义。（例如：事件管理过程为问题管理过程提供输入；知识管理过程为所有其他过程提供信息支持）。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接口协同：当过程活动涉及多个部门时，应建立清晰的职责矩阵（如RACI矩阵），并通过定期协调会议或协作平台确保接口顺畅。</w:t>
      </w:r>
    </w:p>
    <w:p>
      <w:pPr>
        <w:pStyle w:val="3"/>
        <w:bidi w:val="0"/>
        <w:rPr>
          <w:rFonts w:hint="eastAsia"/>
        </w:rPr>
      </w:pPr>
      <w:bookmarkStart w:id="24" w:name="_Toc5246"/>
      <w:r>
        <w:rPr>
          <w:rFonts w:hint="eastAsia"/>
        </w:rPr>
        <w:t>过程交互机制</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建立清晰的过程交互矩阵，明确各过程间的输入输出关系：</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事件管理与问题管理：事件数据为问题识别提供输入，问题解决方案减少事件发生</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变更管理与配置管理：变更结果驱动配置项更新，配置信息支持变更影响分析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知识管理与所有过程：为各过程提供知识支持，同时收集各过程的经验教训</w:t>
      </w:r>
    </w:p>
    <w:p>
      <w:pPr>
        <w:pStyle w:val="3"/>
        <w:bidi w:val="0"/>
        <w:rPr>
          <w:rFonts w:hint="eastAsia"/>
        </w:rPr>
      </w:pPr>
      <w:bookmarkStart w:id="25" w:name="_Toc11382"/>
      <w:r>
        <w:rPr>
          <w:rFonts w:hint="eastAsia"/>
        </w:rPr>
        <w:t>跨部门协作机制</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建立部门间的服务级别协议（</w:t>
      </w:r>
      <w:r>
        <w:rPr>
          <w:rFonts w:hint="eastAsia"/>
          <w:lang w:val="en-US" w:eastAsia="zh-CN"/>
        </w:rPr>
        <w:t>S</w:t>
      </w:r>
      <w:r>
        <w:rPr>
          <w:rFonts w:hint="eastAsia"/>
        </w:rPr>
        <w:t>LA），明确协作要求和质量标准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每月召开过程协调会议，解决过程接口问题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使用统一的协作平台，确保信息及时共享</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6" w:name="_Toc4371"/>
      <w:r>
        <w:rPr>
          <w:rFonts w:hint="eastAsia"/>
        </w:rPr>
        <w:t>过程的建立与变更</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建立：新过程的建立需由主导部门提出，质量部组织评审，确保其与现有框架的兼容性，并报公司管理层批准后纳入框架。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变更：对已有过程的任何重大变更，需遵循变更管理流程，由质量部评估其对整个框架的潜在影响，并组织相关方评审。</w:t>
      </w:r>
    </w:p>
    <w:p>
      <w:pPr>
        <w:pStyle w:val="3"/>
        <w:bidi w:val="0"/>
        <w:rPr>
          <w:rFonts w:hint="eastAsia"/>
        </w:rPr>
      </w:pPr>
      <w:bookmarkStart w:id="27" w:name="_Toc29408"/>
      <w:r>
        <w:rPr>
          <w:rFonts w:hint="eastAsia"/>
        </w:rPr>
        <w:t>新过程建立流程</w:t>
      </w:r>
      <w:bookmarkEnd w:id="27"/>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需求提出：由主导部门提交《新过程建立申请》</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影响分析：质量部组织评估对现有框架的影响</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方案设计：制定过程文件、模板和测量指标</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评审批准：组织相关部门评审，报管理层批准</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试点推广：选择试点范围验证效果后全面推广</w:t>
      </w:r>
    </w:p>
    <w:p>
      <w:pPr>
        <w:pStyle w:val="3"/>
        <w:bidi w:val="0"/>
        <w:rPr>
          <w:rFonts w:hint="eastAsia"/>
        </w:rPr>
      </w:pPr>
      <w:bookmarkStart w:id="28" w:name="_Toc7930"/>
      <w:r>
        <w:rPr>
          <w:rFonts w:hint="eastAsia"/>
        </w:rPr>
        <w:t>过程变更管理</w:t>
      </w:r>
      <w:bookmarkEnd w:id="2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过程变更必须遵循变更管理流程</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重大变更需进行风险评估和影响分析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变更实施后需进行效果验证</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9" w:name="_Toc25820"/>
      <w:r>
        <w:rPr>
          <w:rFonts w:hint="eastAsia"/>
        </w:rPr>
        <w:t>过程的评审与改进</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定期评审：质量部应每年至少组织一次对过程框架的全面评审，结合KPI数据、审计结果和业务环境变化，评估其持续适宜性。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持续改进：基于评审结果、审计发现、事件分析等，通过正式的管理评审会议启动改进项，并跟踪改进措施的实施与验证，形成闭环。</w:t>
      </w:r>
    </w:p>
    <w:p>
      <w:pPr>
        <w:pStyle w:val="3"/>
        <w:bidi w:val="0"/>
        <w:rPr>
          <w:rFonts w:hint="eastAsia"/>
        </w:rPr>
      </w:pPr>
      <w:bookmarkStart w:id="30" w:name="_Toc14485"/>
      <w:r>
        <w:rPr>
          <w:rFonts w:hint="eastAsia"/>
        </w:rPr>
        <w:t>过程执行要求</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所有过程必须建立相应的程序文件和作业指导书</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过程执行人员需经过培训并具备相应资质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过程执行记录应完整、准确、可追溯</w:t>
      </w:r>
    </w:p>
    <w:p>
      <w:pPr>
        <w:pStyle w:val="3"/>
        <w:bidi w:val="0"/>
        <w:rPr>
          <w:rFonts w:hint="eastAsia"/>
        </w:rPr>
      </w:pPr>
      <w:bookmarkStart w:id="31" w:name="_Toc382"/>
      <w:r>
        <w:rPr>
          <w:rFonts w:hint="eastAsia"/>
        </w:rPr>
        <w:t>过程监督机制</w:t>
      </w:r>
      <w:bookmarkEnd w:id="3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质量部定期对过程执行情况进行抽查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建立过程执行问题反馈和解决机制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对过程偏差进行分析并采取纠正措施</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32" w:name="_Toc32252"/>
      <w:r>
        <w:rPr>
          <w:rFonts w:hint="eastAsia"/>
        </w:rPr>
        <w:t>过程的监控与测量</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过程框架</w:t>
      </w:r>
      <w:r>
        <w:rPr>
          <w:rFonts w:hint="default"/>
          <w:lang w:val="en-US" w:eastAsia="zh-CN"/>
        </w:rPr>
        <w:t>管理成效，设定以下核心考核指标：</w:t>
      </w:r>
      <w:r>
        <w:rPr>
          <w:rFonts w:hint="eastAsia"/>
          <w:lang w:val="en-US" w:eastAsia="zh-CN"/>
        </w:rPr>
        <w:t>如表4-1所示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387"/>
        <w:gridCol w:w="4089"/>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38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408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38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自评估次数</w:t>
            </w:r>
          </w:p>
        </w:tc>
        <w:tc>
          <w:tcPr>
            <w:tcW w:w="408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数量，每年对过程框架进行分析的次数</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w:t>
            </w:r>
            <w:r>
              <w:rPr>
                <w:rFonts w:hint="eastAsia"/>
                <w:sz w:val="21"/>
                <w:szCs w:val="21"/>
                <w:vertAlign w:val="baseline"/>
                <w:lang w:val="en-US" w:eastAsia="zh-CN"/>
              </w:rPr>
              <w:t>1</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3" w:name="bookmark3"/>
      <w:bookmarkEnd w:id="33"/>
      <w:bookmarkStart w:id="34" w:name="_Toc22661"/>
      <w:bookmarkStart w:id="35" w:name="_Toc17424"/>
      <w:r>
        <w:rPr>
          <w:rStyle w:val="1Char"/>
          <w:rFonts w:eastAsia="宋体" w:hint="eastAsia"/>
          <w:lang w:val="en-US" w:eastAsia="zh-CN"/>
        </w:rPr>
        <w:t>附则</w:t>
      </w:r>
      <w:bookmarkEnd w:id="34"/>
      <w:bookmarkEnd w:id="35"/>
    </w:p>
    <w:p>
      <w:pPr>
        <w:keepNext w:val="0"/>
        <w:keepLines w:val="0"/>
        <w:pageBreakBefore w:val="0"/>
        <w:widowControl w:val="0"/>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bookmark14"/>
      <w:bookmarkEnd w:id="36"/>
      <w:bookmarkStart w:id="37" w:name="_Toc6095"/>
      <w:r>
        <w:rPr>
          <w:rFonts w:hint="eastAsia"/>
          <w:lang w:val="en-US" w:eastAsia="zh-CN"/>
        </w:rPr>
        <w:t>附件</w:t>
      </w:r>
      <w:bookmarkEnd w:id="37"/>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8" w:name="_Toc28779"/>
      <w:r>
        <w:rPr>
          <w:rFonts w:hint="eastAsia"/>
          <w:lang w:val="en-US" w:eastAsia="zh-CN"/>
        </w:rPr>
        <w:t>记录</w:t>
      </w:r>
      <w:bookmarkEnd w:id="3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9321E6F"/>
    <w:multiLevelType w:val="singleLevel"/>
    <w:tmpl w:val="99321E6F"/>
    <w:lvl w:ilvl="0">
      <w:start w:val="1"/>
      <w:numFmt w:val="decimal"/>
      <w:lvlText w:val="%1."/>
      <w:lvlJc w:val="left"/>
      <w:pPr>
        <w:ind w:left="425" w:hanging="425"/>
      </w:pPr>
      <w:rPr>
        <w:rFonts w:hint="default"/>
      </w:rPr>
    </w:lvl>
  </w:abstractNum>
  <w:abstractNum w:abstractNumId="2">
    <w:nsid w:val="A76B1425"/>
    <w:multiLevelType w:val="singleLevel"/>
    <w:tmpl w:val="A76B1425"/>
    <w:lvl w:ilvl="0">
      <w:start w:val="1"/>
      <w:numFmt w:val="decimal"/>
      <w:lvlText w:val="%1."/>
      <w:lvlJc w:val="left"/>
      <w:pPr>
        <w:ind w:left="425" w:hanging="425"/>
      </w:pPr>
      <w:rPr>
        <w:rFonts w:hint="default"/>
      </w:rPr>
    </w:lvl>
  </w:abstractNum>
  <w:abstractNum w:abstractNumId="3">
    <w:nsid w:val="D81445D8"/>
    <w:multiLevelType w:val="singleLevel"/>
    <w:tmpl w:val="D81445D8"/>
    <w:lvl w:ilvl="0">
      <w:start w:val="1"/>
      <w:numFmt w:val="decimal"/>
      <w:lvlText w:val="%1."/>
      <w:lvlJc w:val="left"/>
      <w:pPr>
        <w:ind w:left="425" w:hanging="425"/>
      </w:pPr>
      <w:rPr>
        <w:rFonts w:hint="default"/>
      </w:rPr>
    </w:lvl>
  </w:abstractNum>
  <w:abstractNum w:abstractNumId="4">
    <w:nsid w:val="F9539CF3"/>
    <w:multiLevelType w:val="singleLevel"/>
    <w:tmpl w:val="F9539CF3"/>
    <w:lvl w:ilvl="0">
      <w:start w:val="1"/>
      <w:numFmt w:val="decimal"/>
      <w:lvlText w:val="%1."/>
      <w:lvlJc w:val="left"/>
      <w:pPr>
        <w:ind w:left="425" w:hanging="425"/>
      </w:pPr>
      <w:rPr>
        <w:rFonts w:hint="default"/>
      </w:rPr>
    </w:lvl>
  </w:abstractNum>
  <w:abstractNum w:abstractNumId="5">
    <w:nsid w:val="FED56576"/>
    <w:multiLevelType w:val="singleLevel"/>
    <w:tmpl w:val="FED56576"/>
    <w:lvl w:ilvl="0">
      <w:start w:val="1"/>
      <w:numFmt w:val="decimal"/>
      <w:lvlText w:val="%1."/>
      <w:lvlJc w:val="left"/>
      <w:pPr>
        <w:ind w:left="425" w:hanging="425"/>
      </w:pPr>
      <w:rPr>
        <w:rFonts w:hint="default"/>
      </w:rPr>
    </w:lvl>
  </w:abstractNum>
  <w:abstractNum w:abstractNumId="6">
    <w:nsid w:val="025AE9BF"/>
    <w:multiLevelType w:val="singleLevel"/>
    <w:tmpl w:val="025AE9BF"/>
    <w:lvl w:ilvl="0">
      <w:start w:val="1"/>
      <w:numFmt w:val="decimal"/>
      <w:lvlText w:val="%1."/>
      <w:lvlJc w:val="left"/>
      <w:pPr>
        <w:ind w:left="425" w:hanging="425"/>
      </w:pPr>
      <w:rPr>
        <w:rFonts w:hint="default"/>
      </w:rPr>
    </w:lvl>
  </w:abstractNum>
  <w:abstractNum w:abstractNumId="7">
    <w:nsid w:val="38D49E58"/>
    <w:multiLevelType w:val="singleLevel"/>
    <w:tmpl w:val="38D49E58"/>
    <w:lvl w:ilvl="0">
      <w:start w:val="1"/>
      <w:numFmt w:val="decimal"/>
      <w:lvlText w:val="%1."/>
      <w:lvlJc w:val="left"/>
      <w:pPr>
        <w:ind w:left="425" w:hanging="425"/>
      </w:pPr>
      <w:rPr>
        <w:rFonts w:hint="default"/>
      </w:rPr>
    </w:lvl>
  </w:abstractNum>
  <w:abstractNum w:abstractNumId="8">
    <w:nsid w:val="65FBFB8E"/>
    <w:multiLevelType w:val="singleLevel"/>
    <w:tmpl w:val="65FBFB8E"/>
    <w:lvl w:ilvl="0">
      <w:start w:val="1"/>
      <w:numFmt w:val="decimal"/>
      <w:lvlText w:val="%1."/>
      <w:lvlJc w:val="left"/>
      <w:pPr>
        <w:ind w:left="425" w:hanging="425"/>
      </w:pPr>
      <w:rPr>
        <w:rFonts w:hint="default"/>
      </w:rPr>
    </w:lvl>
  </w:abstractNum>
  <w:num w:numId="1">
    <w:abstractNumId w:val="0"/>
  </w:num>
  <w:num w:numId="2">
    <w:abstractNumId w:val="7"/>
  </w:num>
  <w:num w:numId="3">
    <w:abstractNumId w:val="8"/>
  </w:num>
  <w:num w:numId="4">
    <w:abstractNumId w:val="6"/>
  </w:num>
  <w:num w:numId="5">
    <w:abstractNumId w:val="1"/>
  </w:num>
  <w:num w:numId="6">
    <w:abstractNumId w:val="3"/>
  </w:num>
  <w:num w:numId="7">
    <w:abstractNumId w:val="2"/>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2745</Words>
  <Characters>2997</Characters>
  <Application>Microsoft Office Word</Application>
  <DocSecurity>0</DocSecurity>
  <Lines>0</Lines>
  <Paragraphs>0</Paragraphs>
  <ScaleCrop>false</ScaleCrop>
  <Company/>
  <LinksUpToDate>false</LinksUpToDate>
  <CharactersWithSpaces>3150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