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0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2304"/>
      <w:r>
        <w:rPr>
          <w:rFonts w:hint="eastAsia"/>
          <w:lang w:val="en-US" w:eastAsia="zh-CN"/>
        </w:rPr>
        <w:t>服务可用性和连续性管理制度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9</w:t>
      </w:r>
      <w:bookmarkStart w:id="2" w:name="_GoBack"/>
      <w:bookmarkEnd w:id="2"/>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_Toc407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_Toc407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_Toc32304 </w:instrText>
          </w:r>
          <w:r>
            <w:rPr>
              <w:rFonts w:ascii="宋体" w:eastAsia="宋体" w:hAnsi="宋体" w:cs="宋体" w:hint="eastAsia"/>
              <w:szCs w:val="24"/>
            </w:rPr>
            <w:fldChar w:fldCharType="separate"/>
          </w:r>
          <w:r>
            <w:rPr>
              <w:rFonts w:hint="eastAsia"/>
              <w:lang w:val="en-US" w:eastAsia="zh-CN"/>
            </w:rPr>
            <w:t>服务可用性和连续性管理制度</w:t>
          </w:r>
          <w:r>
            <w:tab/>
          </w:r>
          <w:r>
            <w:fldChar w:fldCharType="begin"/>
          </w:r>
          <w:r>
            <w:instrText xml:space="preserve"> PAGEREF _Toc32304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_Toc12773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_Toc12773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_Toc27449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_Toc27449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_Toc3864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_Toc3864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_Toc3161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_Toc4268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_Toc4268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_Toc11105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运维部经理</w:t>
          </w:r>
          <w:r>
            <w:tab/>
          </w:r>
          <w:r>
            <w:fldChar w:fldCharType="begin"/>
          </w:r>
          <w:r>
            <w:instrText xml:space="preserve"> PAGEREF _Toc11105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_Toc20585 </w:instrText>
          </w:r>
          <w:r>
            <w:rPr>
              <w:rFonts w:ascii="宋体" w:eastAsia="宋体" w:hAnsi="宋体" w:cs="宋体" w:hint="eastAsia"/>
              <w:szCs w:val="24"/>
            </w:rPr>
            <w:fldChar w:fldCharType="separate"/>
          </w:r>
          <w:r>
            <w:rPr>
              <w:rFonts w:hint="default"/>
              <w:lang w:val="en-US" w:eastAsia="zh-CN"/>
            </w:rPr>
            <w:t>1.4.2. 运维部</w:t>
          </w:r>
          <w:r>
            <w:tab/>
          </w:r>
          <w:r>
            <w:fldChar w:fldCharType="begin"/>
          </w:r>
          <w:r>
            <w:instrText xml:space="preserve"> PAGEREF _Toc20585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_Toc32074 </w:instrText>
          </w:r>
          <w:r>
            <w:rPr>
              <w:rFonts w:ascii="宋体" w:eastAsia="宋体" w:hAnsi="宋体" w:cs="宋体" w:hint="eastAsia"/>
              <w:szCs w:val="24"/>
            </w:rPr>
            <w:fldChar w:fldCharType="separate"/>
          </w:r>
          <w:r>
            <w:rPr>
              <w:rFonts w:hint="default"/>
              <w:lang w:val="en-US" w:eastAsia="zh-CN"/>
            </w:rPr>
            <w:t>1.4.3. 技术研发部</w:t>
          </w:r>
          <w:r>
            <w:tab/>
          </w:r>
          <w:r>
            <w:fldChar w:fldCharType="begin"/>
          </w:r>
          <w:r>
            <w:instrText xml:space="preserve"> PAGEREF _Toc32074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_Toc28782 </w:instrText>
          </w:r>
          <w:r>
            <w:rPr>
              <w:rFonts w:ascii="宋体" w:eastAsia="宋体" w:hAnsi="宋体" w:cs="宋体" w:hint="eastAsia"/>
              <w:szCs w:val="24"/>
            </w:rPr>
            <w:fldChar w:fldCharType="separate"/>
          </w:r>
          <w:r>
            <w:rPr>
              <w:rFonts w:hint="default"/>
              <w:lang w:val="en-US" w:eastAsia="zh-CN"/>
            </w:rPr>
            <w:t>1.4.4. 综合管理部</w:t>
          </w:r>
          <w:r>
            <w:tab/>
          </w:r>
          <w:r>
            <w:fldChar w:fldCharType="begin"/>
          </w:r>
          <w:r>
            <w:instrText xml:space="preserve"> PAGEREF _Toc28782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_Toc150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_Toc20112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_Toc20112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_Toc30657 </w:instrText>
          </w:r>
          <w:r>
            <w:rPr>
              <w:rFonts w:ascii="宋体" w:eastAsia="宋体" w:hAnsi="宋体" w:cs="宋体" w:hint="eastAsia"/>
              <w:szCs w:val="24"/>
            </w:rPr>
            <w:fldChar w:fldCharType="separate"/>
          </w:r>
          <w:r>
            <w:rPr>
              <w:rFonts w:hint="default"/>
            </w:rPr>
            <w:t xml:space="preserve">3.1. </w:t>
          </w:r>
          <w:r>
            <w:rPr>
              <w:rFonts w:hint="eastAsia"/>
            </w:rPr>
            <w:t>服务可用性</w:t>
          </w:r>
          <w:r>
            <w:tab/>
          </w:r>
          <w:r>
            <w:fldChar w:fldCharType="begin"/>
          </w:r>
          <w:r>
            <w:instrText xml:space="preserve"> PAGEREF _Toc30657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_Toc22405 </w:instrText>
          </w:r>
          <w:r>
            <w:rPr>
              <w:rFonts w:ascii="宋体" w:eastAsia="宋体" w:hAnsi="宋体" w:cs="宋体" w:hint="eastAsia"/>
              <w:szCs w:val="24"/>
            </w:rPr>
            <w:fldChar w:fldCharType="separate"/>
          </w:r>
          <w:r>
            <w:rPr>
              <w:rFonts w:hint="default"/>
            </w:rPr>
            <w:t xml:space="preserve">3.2. </w:t>
          </w:r>
          <w:r>
            <w:rPr>
              <w:rFonts w:hint="eastAsia"/>
            </w:rPr>
            <w:t>服务连续性</w:t>
          </w:r>
          <w:r>
            <w:tab/>
          </w:r>
          <w:r>
            <w:fldChar w:fldCharType="begin"/>
          </w:r>
          <w:r>
            <w:instrText xml:space="preserve"> PAGEREF _Toc22405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_Toc10273 </w:instrText>
          </w:r>
          <w:r>
            <w:rPr>
              <w:rFonts w:ascii="宋体" w:eastAsia="宋体" w:hAnsi="宋体" w:cs="宋体" w:hint="eastAsia"/>
              <w:szCs w:val="24"/>
            </w:rPr>
            <w:fldChar w:fldCharType="separate"/>
          </w:r>
          <w:r>
            <w:rPr>
              <w:rFonts w:hint="default"/>
            </w:rPr>
            <w:t xml:space="preserve">3.3. </w:t>
          </w:r>
          <w:r>
            <w:rPr>
              <w:rFonts w:hint="eastAsia"/>
            </w:rPr>
            <w:t>业务影响分析（BIA）</w:t>
          </w:r>
          <w:r>
            <w:tab/>
          </w:r>
          <w:r>
            <w:fldChar w:fldCharType="begin"/>
          </w:r>
          <w:r>
            <w:instrText xml:space="preserve"> PAGEREF _Toc10273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_Toc8388 </w:instrText>
          </w:r>
          <w:r>
            <w:rPr>
              <w:rFonts w:ascii="宋体" w:eastAsia="宋体" w:hAnsi="宋体" w:cs="宋体" w:hint="eastAsia"/>
              <w:szCs w:val="24"/>
            </w:rPr>
            <w:fldChar w:fldCharType="separate"/>
          </w:r>
          <w:r>
            <w:rPr>
              <w:rFonts w:hint="default"/>
            </w:rPr>
            <w:t xml:space="preserve">3.4. </w:t>
          </w:r>
          <w:r>
            <w:rPr>
              <w:rFonts w:hint="eastAsia"/>
            </w:rPr>
            <w:t>恢复时间目标（RTO）</w:t>
          </w:r>
          <w:r>
            <w:tab/>
          </w:r>
          <w:r>
            <w:fldChar w:fldCharType="begin"/>
          </w:r>
          <w:r>
            <w:instrText xml:space="preserve"> PAGEREF _Toc8388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_Toc2282 </w:instrText>
          </w:r>
          <w:r>
            <w:rPr>
              <w:rFonts w:ascii="宋体" w:eastAsia="宋体" w:hAnsi="宋体" w:cs="宋体" w:hint="eastAsia"/>
              <w:szCs w:val="24"/>
            </w:rPr>
            <w:fldChar w:fldCharType="separate"/>
          </w:r>
          <w:r>
            <w:rPr>
              <w:rFonts w:hint="default"/>
            </w:rPr>
            <w:t xml:space="preserve">3.5. </w:t>
          </w:r>
          <w:r>
            <w:rPr>
              <w:rFonts w:hint="eastAsia"/>
            </w:rPr>
            <w:t>恢复点目标（RPO）</w:t>
          </w:r>
          <w:r>
            <w:tab/>
          </w:r>
          <w:r>
            <w:fldChar w:fldCharType="begin"/>
          </w:r>
          <w:r>
            <w:instrText xml:space="preserve"> PAGEREF _Toc2282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_Toc26106 </w:instrText>
          </w:r>
          <w:r>
            <w:rPr>
              <w:rFonts w:ascii="宋体" w:eastAsia="宋体" w:hAnsi="宋体" w:cs="宋体" w:hint="eastAsia"/>
              <w:szCs w:val="24"/>
            </w:rPr>
            <w:fldChar w:fldCharType="separate"/>
          </w:r>
          <w:r>
            <w:rPr>
              <w:rFonts w:hint="default"/>
            </w:rPr>
            <w:t xml:space="preserve">3.6. </w:t>
          </w:r>
          <w:r>
            <w:rPr>
              <w:rFonts w:hint="eastAsia"/>
            </w:rPr>
            <w:t>平均无故障时间（MTBF）</w:t>
          </w:r>
          <w:r>
            <w:tab/>
          </w:r>
          <w:r>
            <w:fldChar w:fldCharType="begin"/>
          </w:r>
          <w:r>
            <w:instrText xml:space="preserve"> PAGEREF _Toc26106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_Toc11058 </w:instrText>
          </w:r>
          <w:r>
            <w:rPr>
              <w:rFonts w:ascii="宋体" w:eastAsia="宋体" w:hAnsi="宋体" w:cs="宋体" w:hint="eastAsia"/>
              <w:szCs w:val="24"/>
            </w:rPr>
            <w:fldChar w:fldCharType="separate"/>
          </w:r>
          <w:r>
            <w:rPr>
              <w:rFonts w:hint="default"/>
            </w:rPr>
            <w:t xml:space="preserve">3.7. </w:t>
          </w:r>
          <w:r>
            <w:rPr>
              <w:rFonts w:hint="eastAsia"/>
            </w:rPr>
            <w:t>平均修复时间（MTTR）</w:t>
          </w:r>
          <w:r>
            <w:tab/>
          </w:r>
          <w:r>
            <w:fldChar w:fldCharType="begin"/>
          </w:r>
          <w:r>
            <w:instrText xml:space="preserve"> PAGEREF _Toc11058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_Toc12159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_Toc12159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_Toc11045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服务可用性管理</w:t>
          </w:r>
          <w:r>
            <w:tab/>
          </w:r>
          <w:r>
            <w:fldChar w:fldCharType="begin"/>
          </w:r>
          <w:r>
            <w:instrText xml:space="preserve"> PAGEREF _Toc11045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_Toc20797 </w:instrText>
          </w:r>
          <w:r>
            <w:rPr>
              <w:rFonts w:ascii="宋体" w:eastAsia="宋体" w:hAnsi="宋体" w:cs="宋体" w:hint="eastAsia"/>
              <w:szCs w:val="24"/>
            </w:rPr>
            <w:fldChar w:fldCharType="separate"/>
          </w:r>
          <w:r>
            <w:rPr>
              <w:rFonts w:hint="default"/>
              <w:lang w:val="en-US" w:eastAsia="zh-CN"/>
            </w:rPr>
            <w:t>4.1.1. 可用性目标管理</w:t>
          </w:r>
          <w:r>
            <w:tab/>
          </w:r>
          <w:r>
            <w:fldChar w:fldCharType="begin"/>
          </w:r>
          <w:r>
            <w:instrText xml:space="preserve"> PAGEREF _Toc20797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_Toc15306 </w:instrText>
          </w:r>
          <w:r>
            <w:rPr>
              <w:rFonts w:ascii="宋体" w:eastAsia="宋体" w:hAnsi="宋体" w:cs="宋体" w:hint="eastAsia"/>
              <w:szCs w:val="24"/>
            </w:rPr>
            <w:fldChar w:fldCharType="separate"/>
          </w:r>
          <w:r>
            <w:rPr>
              <w:rFonts w:hint="default"/>
              <w:lang w:val="en-US" w:eastAsia="zh-CN"/>
            </w:rPr>
            <w:t>4.1.2. 系统框架管理</w:t>
          </w:r>
          <w:r>
            <w:tab/>
          </w:r>
          <w:r>
            <w:fldChar w:fldCharType="begin"/>
          </w:r>
          <w:r>
            <w:instrText xml:space="preserve"> PAGEREF _Toc15306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_Toc11734 </w:instrText>
          </w:r>
          <w:r>
            <w:rPr>
              <w:rFonts w:ascii="宋体" w:eastAsia="宋体" w:hAnsi="宋体" w:cs="宋体" w:hint="eastAsia"/>
              <w:szCs w:val="24"/>
            </w:rPr>
            <w:fldChar w:fldCharType="separate"/>
          </w:r>
          <w:r>
            <w:rPr>
              <w:rFonts w:hint="default"/>
              <w:lang w:val="en-US" w:eastAsia="zh-CN"/>
            </w:rPr>
            <w:t>4.1.3. 监控与数据收集</w:t>
          </w:r>
          <w:r>
            <w:tab/>
          </w:r>
          <w:r>
            <w:fldChar w:fldCharType="begin"/>
          </w:r>
          <w:r>
            <w:instrText xml:space="preserve"> PAGEREF _Toc11734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_Toc10762 </w:instrText>
          </w:r>
          <w:r>
            <w:rPr>
              <w:rFonts w:ascii="宋体" w:eastAsia="宋体" w:hAnsi="宋体" w:cs="宋体" w:hint="eastAsia"/>
              <w:szCs w:val="24"/>
            </w:rPr>
            <w:fldChar w:fldCharType="separate"/>
          </w:r>
          <w:r>
            <w:rPr>
              <w:rFonts w:hint="default"/>
              <w:lang w:val="en-US" w:eastAsia="zh-CN"/>
            </w:rPr>
            <w:t>4.1.4. 可用性分析与改进</w:t>
          </w:r>
          <w:r>
            <w:tab/>
          </w:r>
          <w:r>
            <w:fldChar w:fldCharType="begin"/>
          </w:r>
          <w:r>
            <w:instrText xml:space="preserve"> PAGEREF _Toc10762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_Toc18457 </w:instrText>
          </w:r>
          <w:r>
            <w:rPr>
              <w:rFonts w:ascii="宋体" w:eastAsia="宋体" w:hAnsi="宋体" w:cs="宋体" w:hint="eastAsia"/>
              <w:szCs w:val="24"/>
            </w:rPr>
            <w:fldChar w:fldCharType="separate"/>
          </w:r>
          <w:r>
            <w:rPr>
              <w:rFonts w:hint="default"/>
              <w:lang w:val="en-US" w:eastAsia="zh-CN"/>
            </w:rPr>
            <w:t>4.2. 服务连续性管理</w:t>
          </w:r>
          <w:r>
            <w:tab/>
          </w:r>
          <w:r>
            <w:fldChar w:fldCharType="begin"/>
          </w:r>
          <w:r>
            <w:instrText xml:space="preserve"> PAGEREF _Toc18457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_Toc22744 </w:instrText>
          </w:r>
          <w:r>
            <w:rPr>
              <w:rFonts w:ascii="宋体" w:eastAsia="宋体" w:hAnsi="宋体" w:cs="宋体" w:hint="eastAsia"/>
              <w:szCs w:val="24"/>
            </w:rPr>
            <w:fldChar w:fldCharType="separate"/>
          </w:r>
          <w:r>
            <w:rPr>
              <w:rFonts w:hint="default"/>
              <w:lang w:val="en-US" w:eastAsia="zh-CN"/>
            </w:rPr>
            <w:t>4.2.1. 业务影响分析（BIA）</w:t>
          </w:r>
          <w:r>
            <w:tab/>
          </w:r>
          <w:r>
            <w:fldChar w:fldCharType="begin"/>
          </w:r>
          <w:r>
            <w:instrText xml:space="preserve"> PAGEREF _Toc22744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_Toc15622 </w:instrText>
          </w:r>
          <w:r>
            <w:rPr>
              <w:rFonts w:ascii="宋体" w:eastAsia="宋体" w:hAnsi="宋体" w:cs="宋体" w:hint="eastAsia"/>
              <w:szCs w:val="24"/>
            </w:rPr>
            <w:fldChar w:fldCharType="separate"/>
          </w:r>
          <w:r>
            <w:rPr>
              <w:rFonts w:hint="default"/>
              <w:lang w:val="en-US" w:eastAsia="zh-CN"/>
            </w:rPr>
            <w:t>4.2.2. 连续性策略制定</w:t>
          </w:r>
          <w:r>
            <w:tab/>
          </w:r>
          <w:r>
            <w:fldChar w:fldCharType="begin"/>
          </w:r>
          <w:r>
            <w:instrText xml:space="preserve"> PAGEREF _Toc15622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_Toc1962 </w:instrText>
          </w:r>
          <w:r>
            <w:rPr>
              <w:rFonts w:ascii="宋体" w:eastAsia="宋体" w:hAnsi="宋体" w:cs="宋体" w:hint="eastAsia"/>
              <w:szCs w:val="24"/>
            </w:rPr>
            <w:fldChar w:fldCharType="separate"/>
          </w:r>
          <w:r>
            <w:rPr>
              <w:rFonts w:hint="default"/>
              <w:lang w:val="en-US" w:eastAsia="zh-CN"/>
            </w:rPr>
            <w:t>4.2.3. 连续性计划开发</w:t>
          </w:r>
          <w:r>
            <w:tab/>
          </w:r>
          <w:r>
            <w:fldChar w:fldCharType="begin"/>
          </w:r>
          <w:r>
            <w:instrText xml:space="preserve"> PAGEREF _Toc1962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_Toc21222 </w:instrText>
          </w:r>
          <w:r>
            <w:rPr>
              <w:rFonts w:ascii="宋体" w:eastAsia="宋体" w:hAnsi="宋体" w:cs="宋体" w:hint="eastAsia"/>
              <w:szCs w:val="24"/>
            </w:rPr>
            <w:fldChar w:fldCharType="separate"/>
          </w:r>
          <w:r>
            <w:rPr>
              <w:rFonts w:hint="default"/>
              <w:lang w:val="en-US" w:eastAsia="zh-CN"/>
            </w:rPr>
            <w:t>4.2.4. 演练与测试</w:t>
          </w:r>
          <w:r>
            <w:tab/>
          </w:r>
          <w:r>
            <w:fldChar w:fldCharType="begin"/>
          </w:r>
          <w:r>
            <w:instrText xml:space="preserve"> PAGEREF _Toc21222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_Toc32163 </w:instrText>
          </w:r>
          <w:r>
            <w:rPr>
              <w:rFonts w:ascii="宋体" w:eastAsia="宋体" w:hAnsi="宋体" w:cs="宋体" w:hint="eastAsia"/>
              <w:szCs w:val="24"/>
            </w:rPr>
            <w:fldChar w:fldCharType="separate"/>
          </w:r>
          <w:r>
            <w:rPr>
              <w:rFonts w:hint="default"/>
              <w:lang w:val="en-US" w:eastAsia="zh-CN"/>
            </w:rPr>
            <w:t>4.2.5. 计划维护与更新</w:t>
          </w:r>
          <w:r>
            <w:tab/>
          </w:r>
          <w:r>
            <w:fldChar w:fldCharType="begin"/>
          </w:r>
          <w:r>
            <w:instrText xml:space="preserve"> PAGEREF _Toc32163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_Toc28239 </w:instrText>
          </w:r>
          <w:r>
            <w:rPr>
              <w:rFonts w:ascii="宋体" w:eastAsia="宋体" w:hAnsi="宋体" w:cs="宋体" w:hint="eastAsia"/>
              <w:szCs w:val="24"/>
            </w:rPr>
            <w:fldChar w:fldCharType="separate"/>
          </w:r>
          <w:r>
            <w:rPr>
              <w:rFonts w:hint="default"/>
              <w:lang w:val="en-US" w:eastAsia="zh-CN"/>
            </w:rPr>
            <w:t>4.3. 培训与意识培养</w:t>
          </w:r>
          <w:r>
            <w:tab/>
          </w:r>
          <w:r>
            <w:fldChar w:fldCharType="begin"/>
          </w:r>
          <w:r>
            <w:instrText xml:space="preserve"> PAGEREF _Toc28239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_Toc18200 </w:instrText>
          </w:r>
          <w:r>
            <w:rPr>
              <w:rFonts w:ascii="宋体" w:eastAsia="宋体" w:hAnsi="宋体" w:cs="宋体" w:hint="eastAsia"/>
              <w:szCs w:val="24"/>
            </w:rPr>
            <w:fldChar w:fldCharType="separate"/>
          </w:r>
          <w:r>
            <w:rPr>
              <w:rFonts w:hint="default"/>
              <w:lang w:val="en-US" w:eastAsia="zh-CN"/>
            </w:rPr>
            <w:t>4.3.1. 定期培训</w:t>
          </w:r>
          <w:r>
            <w:tab/>
          </w:r>
          <w:r>
            <w:fldChar w:fldCharType="begin"/>
          </w:r>
          <w:r>
            <w:instrText xml:space="preserve"> PAGEREF _Toc18200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_Toc1025 </w:instrText>
          </w:r>
          <w:r>
            <w:rPr>
              <w:rFonts w:ascii="宋体" w:eastAsia="宋体" w:hAnsi="宋体" w:cs="宋体" w:hint="eastAsia"/>
              <w:szCs w:val="24"/>
            </w:rPr>
            <w:fldChar w:fldCharType="separate"/>
          </w:r>
          <w:r>
            <w:rPr>
              <w:rFonts w:hint="default"/>
              <w:lang w:val="en-US" w:eastAsia="zh-CN"/>
            </w:rPr>
            <w:t>4.3.2. 意识培养</w:t>
          </w:r>
          <w:r>
            <w:tab/>
          </w:r>
          <w:r>
            <w:fldChar w:fldCharType="begin"/>
          </w:r>
          <w:r>
            <w:instrText xml:space="preserve"> PAGEREF _Toc1025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_Toc24679 </w:instrText>
          </w:r>
          <w:r>
            <w:rPr>
              <w:rFonts w:ascii="宋体" w:eastAsia="宋体" w:hAnsi="宋体" w:cs="宋体" w:hint="eastAsia"/>
              <w:szCs w:val="24"/>
            </w:rPr>
            <w:fldChar w:fldCharType="separate"/>
          </w:r>
          <w:r>
            <w:rPr>
              <w:rFonts w:hint="default"/>
              <w:lang w:val="en-US" w:eastAsia="zh-CN"/>
            </w:rPr>
            <w:t>4.4. 关键控制点与测量指标</w:t>
          </w:r>
          <w:r>
            <w:tab/>
          </w:r>
          <w:r>
            <w:fldChar w:fldCharType="begin"/>
          </w:r>
          <w:r>
            <w:instrText xml:space="preserve"> PAGEREF _Toc24679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_Toc5893 </w:instrText>
          </w:r>
          <w:r>
            <w:rPr>
              <w:rFonts w:ascii="宋体" w:eastAsia="宋体" w:hAnsi="宋体" w:cs="宋体" w:hint="eastAsia"/>
              <w:szCs w:val="24"/>
            </w:rPr>
            <w:fldChar w:fldCharType="separate"/>
          </w:r>
          <w:r>
            <w:rPr>
              <w:rFonts w:hint="default"/>
              <w:lang w:val="en-US" w:eastAsia="zh-CN"/>
            </w:rPr>
            <w:t>4.4.1. 关键控制点</w:t>
          </w:r>
          <w:r>
            <w:tab/>
          </w:r>
          <w:r>
            <w:fldChar w:fldCharType="begin"/>
          </w:r>
          <w:r>
            <w:instrText xml:space="preserve"> PAGEREF _Toc5893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_Toc16425 </w:instrText>
          </w:r>
          <w:r>
            <w:rPr>
              <w:rFonts w:ascii="宋体" w:eastAsia="宋体" w:hAnsi="宋体" w:cs="宋体" w:hint="eastAsia"/>
              <w:szCs w:val="24"/>
            </w:rPr>
            <w:fldChar w:fldCharType="separate"/>
          </w:r>
          <w:r>
            <w:rPr>
              <w:rFonts w:hint="default"/>
              <w:lang w:val="en-US" w:eastAsia="zh-CN"/>
            </w:rPr>
            <w:t>4.4.2. 指标监控与改进</w:t>
          </w:r>
          <w:r>
            <w:tab/>
          </w:r>
          <w:r>
            <w:fldChar w:fldCharType="begin"/>
          </w:r>
          <w:r>
            <w:instrText xml:space="preserve"> PAGEREF _Toc16425 \h </w:instrText>
          </w:r>
          <w:r>
            <w:fldChar w:fldCharType="separate"/>
          </w:r>
          <w:r>
            <w:t>11</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_Toc3193 </w:instrText>
          </w:r>
          <w:r>
            <w:rPr>
              <w:rFonts w:ascii="宋体" w:eastAsia="宋体" w:hAnsi="宋体" w:cs="宋体" w:hint="eastAsia"/>
              <w:szCs w:val="24"/>
            </w:rPr>
            <w:fldChar w:fldCharType="separate"/>
          </w:r>
          <w:r>
            <w:rPr>
              <w:rFonts w:hint="default"/>
              <w:lang w:val="en-US" w:eastAsia="zh-CN"/>
            </w:rPr>
            <w:t xml:space="preserve">4.4.3. </w:t>
          </w:r>
          <w:r>
            <w:rPr>
              <w:rFonts w:hint="eastAsia"/>
              <w:lang w:val="en-US" w:eastAsia="zh-CN"/>
            </w:rPr>
            <w:t>过程测量指标</w:t>
          </w:r>
          <w:r>
            <w:tab/>
          </w:r>
          <w:r>
            <w:fldChar w:fldCharType="begin"/>
          </w:r>
          <w:r>
            <w:instrText xml:space="preserve"> PAGEREF _Toc3193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_Toc1091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_Toc1091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_Toc10980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_Toc10980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_Toc24695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_Toc24695 \h </w:instrText>
          </w:r>
          <w:r>
            <w:fldChar w:fldCharType="separate"/>
          </w:r>
          <w:r>
            <w:t>11</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2773"/>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7449"/>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肇庆市天鹰生物科技有限公司运维服务的可用性与连续性管理，确保关键业务服务在约定水平下持续、稳定运行，并在中断事件后能迅速有效地恢复，以保障客户业务运营，履行服务级别协议（SLA），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3864"/>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本制度适用于公司运维部、技术研发部及所有参与关键运维服务交付的部门，管理对象为纳入ITSS服务目录的所有关键业务服务及其相关的信息系统与基础设施。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3161"/>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业务导向原则：可用性与连续性管理活动必须基于业务需求和对业务影响的分析。</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预防与恢复并重原则：在主动预防服务中断的同时，必须具备有效恢复服务的能力。</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持续改进原则：定期评审和测试，确保管理策略与计划持续有效并不断优化。</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成本效益平衡原则：控制措施的选择应与服务中断可能造成的业务损失相平衡。</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4268"/>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1105"/>
      <w:r>
        <w:rPr>
          <w:rFonts w:hint="eastAsia"/>
          <w:lang w:val="en-US" w:eastAsia="zh-CN"/>
        </w:rPr>
        <w:t>运维部经理</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负责本制度的制定、推行、监督与持续改进。</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领导业务影响分析（BIA），组织制定和维护《服务连续性计划》。</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协调资源，确保可用性监控与连续性演练的有效执行。</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20585"/>
      <w:r>
        <w:rPr>
          <w:rFonts w:hint="default"/>
          <w:lang w:val="en-US" w:eastAsia="zh-CN"/>
        </w:rPr>
        <w:t>运维部</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负责日常服务可用性监控、数据收集与报告。</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执行可用性改进措施和连续性恢复操作。</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维护关键服务的冗余架构和备份系统。</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32074"/>
      <w:r>
        <w:rPr>
          <w:rFonts w:hint="default"/>
          <w:lang w:val="en-US" w:eastAsia="zh-CN"/>
        </w:rPr>
        <w:t>技术研发部</w:t>
      </w:r>
      <w:bookmarkEnd w:id="1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在系统设计与变更中考虑并实现可用性与可恢复性需求。</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协助分析系统架构弱点，参与连续性计划的制定。</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8782"/>
      <w:r>
        <w:rPr>
          <w:rFonts w:hint="default"/>
          <w:lang w:val="en-US" w:eastAsia="zh-CN"/>
        </w:rPr>
        <w:t>综合管理部</w:t>
      </w:r>
      <w:bookmarkEnd w:id="1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确保关键岗位人员的可用性，并协助组织连续性相关的培训与意识教育。</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150"/>
      <w:r>
        <w:rPr>
          <w:rFonts w:hint="eastAsia"/>
          <w:lang w:val="en-US" w:eastAsia="zh-CN"/>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0112"/>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30657"/>
      <w:r>
        <w:rPr>
          <w:rFonts w:hint="eastAsia"/>
        </w:rPr>
        <w:t>服务可用性</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指一项服务在约定的服务时间内，可供正常使用的比例，通常以百分比表示。</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22405"/>
      <w:r>
        <w:rPr>
          <w:rFonts w:hint="eastAsia"/>
        </w:rPr>
        <w:t>服务连续性</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指在发生重大服务中断或灾难时，组织保持关键业务服务持续运作或快速恢复的能力。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0273"/>
      <w:r>
        <w:rPr>
          <w:rFonts w:hint="eastAsia"/>
        </w:rPr>
        <w:t>业务影响分析（BIA）</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识别关键业务服务、评估中断影响及确定恢复优先级和目标的过程。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8388"/>
      <w:r>
        <w:rPr>
          <w:rFonts w:hint="eastAsia"/>
        </w:rPr>
        <w:t>恢复时间目标（RTO）</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服务中断后，可容许的最长恢复时间。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282"/>
      <w:r>
        <w:rPr>
          <w:rFonts w:hint="eastAsia"/>
        </w:rPr>
        <w:t>恢复点目标（RPO）</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服务中断后，可容许的最大数据丢失量。</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26106"/>
      <w:r>
        <w:rPr>
          <w:rFonts w:hint="eastAsia"/>
        </w:rPr>
        <w:t>平均无故障时间（MTBF）</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系统或组件在两次故障之间正常工作的平均时间。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0" w:name="_Toc11058"/>
      <w:r>
        <w:rPr>
          <w:rFonts w:hint="eastAsia"/>
        </w:rPr>
        <w:t>平均修复时间（MTTR）</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从故障发生到服务恢复所需的平均时间。</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2159"/>
      <w:r>
        <w:rPr>
          <w:rFonts w:hint="eastAsia"/>
          <w:lang w:val="en-US" w:eastAsia="zh-CN"/>
        </w:rPr>
        <w:t>管理内容与要求</w:t>
      </w:r>
      <w:bookmarkEnd w:id="21"/>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1045"/>
      <w:r>
        <w:rPr>
          <w:rFonts w:hint="eastAsia"/>
          <w:lang w:val="en-US" w:eastAsia="zh-CN"/>
        </w:rPr>
        <w:t>服务可用性管理</w:t>
      </w:r>
      <w:bookmarkEnd w:id="22"/>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0797"/>
      <w:r>
        <w:rPr>
          <w:rFonts w:hint="default"/>
          <w:lang w:val="en-US" w:eastAsia="zh-CN"/>
        </w:rPr>
        <w:t>可用性目标管理</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基于服务级别协议（SLA）和业务需求，为每项关键服务制定明确的可用性目标，通常以百分比形式表示（如99.9%、99.99%）</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可用性目标应包含相关的时间基准（如月度、季度）和计算方式</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建立可用性目标的审批和变更流程，任何调整需经</w:t>
      </w:r>
      <w:r>
        <w:rPr>
          <w:rFonts w:hint="eastAsia"/>
          <w:lang w:val="en-US" w:eastAsia="zh-CN"/>
        </w:rPr>
        <w:t>运维部经理审批</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5306"/>
      <w:r>
        <w:rPr>
          <w:rFonts w:hint="default"/>
          <w:lang w:val="en-US" w:eastAsia="zh-CN"/>
        </w:rPr>
        <w:t>系统框架管理</w:t>
      </w:r>
      <w:bookmarkEnd w:id="24"/>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识别支撑关键业务服务的所有配置项，包括硬件、软件、网络设备等</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建立系统框架文档，明确各配置项之间的依赖关系和影响范围</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定期（至少每季度）更新系统框架，确保其与实际环境保持一致</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识别系统中的单点故障，制定相应的冗余或备份方案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1734"/>
      <w:r>
        <w:rPr>
          <w:rFonts w:hint="default"/>
          <w:lang w:val="en-US" w:eastAsia="zh-CN"/>
        </w:rPr>
        <w:t>监控与数据收集</w:t>
      </w:r>
      <w:bookmarkEnd w:id="25"/>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建立7×24小时监控机制，覆盖所有关键服务及相关配置项</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监控指标应包括但不限于：服务响应时间、吞吐量、错误率、资源利用率等</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确保监控数据的准确性和完整性，建立数据质量控制机制</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监控数据应保存至少13个月，以支持趋势分析和容量规划</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10762"/>
      <w:r>
        <w:rPr>
          <w:rFonts w:hint="default"/>
          <w:lang w:val="en-US" w:eastAsia="zh-CN"/>
        </w:rPr>
        <w:t>可用性分析与改进</w:t>
      </w:r>
      <w:bookmarkEnd w:id="26"/>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每月编制《服务可用性分析报告》，内容包括：</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各项服务的实际可用性数据与目标对比</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服务中断事件的统计和分析</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趋势分析和预测</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改进建议</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对未达到可用性目标的服务进行根本原因分析</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制定并跟踪改进措施的实施，确保问题得到有效解决</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8457"/>
      <w:r>
        <w:rPr>
          <w:rFonts w:hint="default"/>
          <w:lang w:val="en-US" w:eastAsia="zh-CN"/>
        </w:rPr>
        <w:t>服务连续性管理</w:t>
      </w:r>
      <w:bookmarkEnd w:id="2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22744"/>
      <w:r>
        <w:rPr>
          <w:rFonts w:hint="default"/>
          <w:lang w:val="en-US" w:eastAsia="zh-CN"/>
        </w:rPr>
        <w:t>业务影响分析（BIA）</w:t>
      </w:r>
      <w:bookmarkEnd w:id="28"/>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每年至少进行一次全面的业务影响分析</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BIA应涵盖以下内容：</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识别关键业务服务及其优先级</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评估服务中断对业务的财务和非财务影响</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确定各项服务的恢复时间目标（RTO）和恢复点目标（RPO）</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识别关键依赖资源（人员、技术、设施等）</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BIA结果需经相关部门确认，并作为连续性计划的基础</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15622"/>
      <w:r>
        <w:rPr>
          <w:rFonts w:hint="default"/>
          <w:lang w:val="en-US" w:eastAsia="zh-CN"/>
        </w:rPr>
        <w:t>连续性策略制定</w:t>
      </w:r>
      <w:bookmarkEnd w:id="29"/>
    </w:p>
    <w:p>
      <w:pPr>
        <w:pStyle w:val="a1"/>
        <w:keepNext w:val="0"/>
        <w:keepLines w:val="0"/>
        <w:pageBreakBefore w:val="0"/>
        <w:widowControl w:val="0"/>
        <w:numPr>
          <w:ilvl w:val="0"/>
          <w:numId w:val="1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基于BIA结果，制定相应的风险缓解措施，包括：</w:t>
      </w:r>
    </w:p>
    <w:p>
      <w:pPr>
        <w:pStyle w:val="a1"/>
        <w:keepNext w:val="0"/>
        <w:keepLines w:val="0"/>
        <w:pageBreakBefore w:val="0"/>
        <w:widowControl w:val="0"/>
        <w:numPr>
          <w:ilvl w:val="0"/>
          <w:numId w:val="15"/>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预防性措施：防止中断发生</w:t>
      </w:r>
    </w:p>
    <w:p>
      <w:pPr>
        <w:pStyle w:val="a1"/>
        <w:keepNext w:val="0"/>
        <w:keepLines w:val="0"/>
        <w:pageBreakBefore w:val="0"/>
        <w:widowControl w:val="0"/>
        <w:numPr>
          <w:ilvl w:val="0"/>
          <w:numId w:val="15"/>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减轻性措施：降低中断影响</w:t>
      </w:r>
    </w:p>
    <w:p>
      <w:pPr>
        <w:pStyle w:val="a1"/>
        <w:keepNext w:val="0"/>
        <w:keepLines w:val="0"/>
        <w:pageBreakBefore w:val="0"/>
        <w:widowControl w:val="0"/>
        <w:numPr>
          <w:ilvl w:val="0"/>
          <w:numId w:val="15"/>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恢复性措施：确保服务快速恢复</w:t>
      </w:r>
    </w:p>
    <w:p>
      <w:pPr>
        <w:pStyle w:val="a1"/>
        <w:keepNext w:val="0"/>
        <w:keepLines w:val="0"/>
        <w:pageBreakBefore w:val="0"/>
        <w:widowControl w:val="0"/>
        <w:numPr>
          <w:ilvl w:val="0"/>
          <w:numId w:val="1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连续性策略应综合考虑成本效益，确保投入与业务影响相匹配</w:t>
      </w:r>
    </w:p>
    <w:p>
      <w:pPr>
        <w:pStyle w:val="a1"/>
        <w:keepNext w:val="0"/>
        <w:keepLines w:val="0"/>
        <w:pageBreakBefore w:val="0"/>
        <w:widowControl w:val="0"/>
        <w:numPr>
          <w:ilvl w:val="0"/>
          <w:numId w:val="1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策略需明确备份方案、备用站点、应急资源等关键要素</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1962"/>
      <w:r>
        <w:rPr>
          <w:rFonts w:hint="default"/>
          <w:lang w:val="en-US" w:eastAsia="zh-CN"/>
        </w:rPr>
        <w:t>连续性计划开发</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编制详细的《服务连续性计划》，内容包括：</w:t>
      </w:r>
    </w:p>
    <w:p>
      <w:pPr>
        <w:pStyle w:val="a1"/>
        <w:keepNext w:val="0"/>
        <w:keepLines w:val="0"/>
        <w:pageBreakBefore w:val="0"/>
        <w:widowControl w:val="0"/>
        <w:numPr>
          <w:ilvl w:val="0"/>
          <w:numId w:val="1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应急响应流程和通信计划</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恢复流程和操作步骤</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人员职责和授权矩阵</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所需资源和设备清单</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外部依赖和供应商联系信息</w:t>
      </w:r>
    </w:p>
    <w:p>
      <w:pPr>
        <w:pStyle w:val="a1"/>
        <w:keepNext w:val="0"/>
        <w:keepLines w:val="0"/>
        <w:pageBreakBefore w:val="0"/>
        <w:widowControl w:val="0"/>
        <w:numPr>
          <w:ilvl w:val="0"/>
          <w:numId w:val="1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计划应具有可操作性，确保在紧急情况下能够有效执行</w:t>
      </w:r>
    </w:p>
    <w:p>
      <w:pPr>
        <w:pStyle w:val="a1"/>
        <w:keepNext w:val="0"/>
        <w:keepLines w:val="0"/>
        <w:pageBreakBefore w:val="0"/>
        <w:widowControl w:val="0"/>
        <w:numPr>
          <w:ilvl w:val="0"/>
          <w:numId w:val="1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建立计划的版本控制和分发机制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21222"/>
      <w:r>
        <w:rPr>
          <w:rFonts w:hint="default"/>
          <w:lang w:val="en-US" w:eastAsia="zh-CN"/>
        </w:rPr>
        <w:t>演练与测试</w:t>
      </w:r>
      <w:bookmarkEnd w:id="31"/>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制定年度连续性演练计划，覆盖所有关键业务服务</w:t>
      </w:r>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演练形式应包括：</w:t>
      </w:r>
    </w:p>
    <w:p>
      <w:pPr>
        <w:pStyle w:val="a1"/>
        <w:keepNext w:val="0"/>
        <w:keepLines w:val="0"/>
        <w:pageBreakBefore w:val="0"/>
        <w:widowControl w:val="0"/>
        <w:numPr>
          <w:ilvl w:val="0"/>
          <w:numId w:val="1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桌面推演：每季度至少一次</w:t>
      </w:r>
    </w:p>
    <w:p>
      <w:pPr>
        <w:pStyle w:val="a1"/>
        <w:keepNext w:val="0"/>
        <w:keepLines w:val="0"/>
        <w:pageBreakBefore w:val="0"/>
        <w:widowControl w:val="0"/>
        <w:numPr>
          <w:ilvl w:val="0"/>
          <w:numId w:val="1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模拟演练：每半年至少一次</w:t>
      </w:r>
    </w:p>
    <w:p>
      <w:pPr>
        <w:pStyle w:val="a1"/>
        <w:keepNext w:val="0"/>
        <w:keepLines w:val="0"/>
        <w:pageBreakBefore w:val="0"/>
        <w:widowControl w:val="0"/>
        <w:numPr>
          <w:ilvl w:val="0"/>
          <w:numId w:val="1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全面演练：每年至少一次</w:t>
      </w:r>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演练后需编制《连续性演练报告》，内容包括：</w:t>
      </w:r>
    </w:p>
    <w:p>
      <w:pPr>
        <w:pStyle w:val="a1"/>
        <w:keepNext w:val="0"/>
        <w:keepLines w:val="0"/>
        <w:pageBreakBefore w:val="0"/>
        <w:widowControl w:val="0"/>
        <w:numPr>
          <w:ilvl w:val="0"/>
          <w:numId w:val="20"/>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演练过程和结果记录</w:t>
      </w:r>
    </w:p>
    <w:p>
      <w:pPr>
        <w:pStyle w:val="a1"/>
        <w:keepNext w:val="0"/>
        <w:keepLines w:val="0"/>
        <w:pageBreakBefore w:val="0"/>
        <w:widowControl w:val="0"/>
        <w:numPr>
          <w:ilvl w:val="0"/>
          <w:numId w:val="20"/>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发现的问题和改进建议</w:t>
      </w:r>
    </w:p>
    <w:p>
      <w:pPr>
        <w:pStyle w:val="a1"/>
        <w:keepNext w:val="0"/>
        <w:keepLines w:val="0"/>
        <w:pageBreakBefore w:val="0"/>
        <w:widowControl w:val="0"/>
        <w:numPr>
          <w:ilvl w:val="0"/>
          <w:numId w:val="20"/>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计划修订需求</w:t>
      </w:r>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演练结果应向管理层汇报，并获得改进措施的批准</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32163"/>
      <w:r>
        <w:rPr>
          <w:rFonts w:hint="default"/>
          <w:lang w:val="en-US" w:eastAsia="zh-CN"/>
        </w:rPr>
        <w:t>计划维护与更新</w:t>
      </w:r>
      <w:bookmarkEnd w:id="32"/>
    </w:p>
    <w:p>
      <w:pPr>
        <w:pStyle w:val="a1"/>
        <w:keepNext w:val="0"/>
        <w:keepLines w:val="0"/>
        <w:pageBreakBefore w:val="0"/>
        <w:widowControl w:val="0"/>
        <w:numPr>
          <w:ilvl w:val="0"/>
          <w:numId w:val="21"/>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在以下情况下必须对连续性计划进行评审和更新：</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业务环境发生重大变化</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组织结构或人员职责调整</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技术架构或系统重大变更</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演练或实际事件中发现计划缺陷</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每年定期评审</w:t>
      </w:r>
    </w:p>
    <w:p>
      <w:pPr>
        <w:pStyle w:val="a1"/>
        <w:keepNext w:val="0"/>
        <w:keepLines w:val="0"/>
        <w:pageBreakBefore w:val="0"/>
        <w:widowControl w:val="0"/>
        <w:numPr>
          <w:ilvl w:val="0"/>
          <w:numId w:val="21"/>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建立计划变更的控制流程，确保所有修订都经过适当审批</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28239"/>
      <w:r>
        <w:rPr>
          <w:rFonts w:hint="default"/>
          <w:lang w:val="en-US" w:eastAsia="zh-CN"/>
        </w:rPr>
        <w:t>培训与意识培养</w:t>
      </w:r>
      <w:bookmarkEnd w:id="33"/>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18200"/>
      <w:r>
        <w:rPr>
          <w:rFonts w:hint="default"/>
          <w:lang w:val="en-US" w:eastAsia="zh-CN"/>
        </w:rPr>
        <w:t>定期培训</w:t>
      </w:r>
      <w:bookmarkEnd w:id="34"/>
    </w:p>
    <w:p>
      <w:pPr>
        <w:pStyle w:val="a1"/>
        <w:keepNext w:val="0"/>
        <w:keepLines w:val="0"/>
        <w:pageBreakBefore w:val="0"/>
        <w:widowControl w:val="0"/>
        <w:numPr>
          <w:ilvl w:val="0"/>
          <w:numId w:val="2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每半年至少组织一次服务可用性与连续性管理培训</w:t>
      </w:r>
    </w:p>
    <w:p>
      <w:pPr>
        <w:pStyle w:val="a1"/>
        <w:keepNext w:val="0"/>
        <w:keepLines w:val="0"/>
        <w:pageBreakBefore w:val="0"/>
        <w:widowControl w:val="0"/>
        <w:numPr>
          <w:ilvl w:val="0"/>
          <w:numId w:val="2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培训对象应覆盖所有相关岗位人员</w:t>
      </w:r>
    </w:p>
    <w:p>
      <w:pPr>
        <w:pStyle w:val="a1"/>
        <w:keepNext w:val="0"/>
        <w:keepLines w:val="0"/>
        <w:pageBreakBefore w:val="0"/>
        <w:widowControl w:val="0"/>
        <w:numPr>
          <w:ilvl w:val="0"/>
          <w:numId w:val="2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培训内容应包括：</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服务可用性与连续性的基本概念</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相关流程和操作规程</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应急预案和处置流程</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案例分析和经验分享</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_Toc1025"/>
      <w:r>
        <w:rPr>
          <w:rFonts w:hint="default"/>
          <w:lang w:val="en-US" w:eastAsia="zh-CN"/>
        </w:rPr>
        <w:t>意识培养</w:t>
      </w:r>
      <w:bookmarkEnd w:id="35"/>
    </w:p>
    <w:p>
      <w:pPr>
        <w:pStyle w:val="a1"/>
        <w:keepNext w:val="0"/>
        <w:keepLines w:val="0"/>
        <w:pageBreakBefore w:val="0"/>
        <w:widowControl w:val="0"/>
        <w:numPr>
          <w:ilvl w:val="0"/>
          <w:numId w:val="2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通过内部通讯、宣传栏等多种形式，提高全员的服务可用性与连续性意识</w:t>
      </w:r>
    </w:p>
    <w:p>
      <w:pPr>
        <w:pStyle w:val="a1"/>
        <w:keepNext w:val="0"/>
        <w:keepLines w:val="0"/>
        <w:pageBreakBefore w:val="0"/>
        <w:widowControl w:val="0"/>
        <w:numPr>
          <w:ilvl w:val="0"/>
          <w:numId w:val="2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定期组织经验交流活动，分享最佳实践和教训</w:t>
      </w:r>
    </w:p>
    <w:p>
      <w:pPr>
        <w:pStyle w:val="a1"/>
        <w:keepNext w:val="0"/>
        <w:keepLines w:val="0"/>
        <w:pageBreakBefore w:val="0"/>
        <w:widowControl w:val="0"/>
        <w:numPr>
          <w:ilvl w:val="0"/>
          <w:numId w:val="2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将服务可用性与连续性要求纳入员工绩效考核</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_Toc24679"/>
      <w:r>
        <w:rPr>
          <w:rFonts w:hint="default"/>
          <w:lang w:val="en-US" w:eastAsia="zh-CN"/>
        </w:rPr>
        <w:t>关键控制点与测量指标</w:t>
      </w:r>
      <w:bookmarkEnd w:id="3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7" w:name="_Toc5893"/>
      <w:r>
        <w:rPr>
          <w:rFonts w:hint="default"/>
          <w:lang w:val="en-US" w:eastAsia="zh-CN"/>
        </w:rPr>
        <w:t>关键控制点</w:t>
      </w:r>
      <w:bookmarkEnd w:id="37"/>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所有关键业务服务必须建立明确的可用性目标，并定期监控和报告达成情况</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业务影响分析（BIA）必须定期执行，结果需经相关业务部门确认</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服务连续性计划必须定期演练，演练结果必须用于计划的持续改进</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所有重大变更必须进行可用性与连续性影响评估</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连续性计划的维护更新必须建立规范的变更控制流程</w:t>
      </w:r>
    </w:p>
    <w:p>
      <w:pPr>
        <w:pStyle w:val="3"/>
        <w:bidi w:val="0"/>
        <w:rPr>
          <w:rFonts w:hint="default"/>
          <w:lang w:val="en-US" w:eastAsia="zh-CN"/>
        </w:rPr>
      </w:pPr>
      <w:bookmarkStart w:id="38" w:name="_Toc16425"/>
      <w:r>
        <w:rPr>
          <w:rFonts w:hint="default"/>
          <w:lang w:val="en-US" w:eastAsia="zh-CN"/>
        </w:rPr>
        <w:t>指标监控与改进</w:t>
      </w:r>
      <w:bookmarkEnd w:id="38"/>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每月对指标数据进行统计分析，识别趋势和异常</w:t>
      </w:r>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对未达标的指标进行根本原因分析，制定改进措施</w:t>
      </w:r>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改进措施应明确责任人、时间表和预期效果</w:t>
      </w:r>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定期向管理层报告指标达成情况和改进进展</w:t>
      </w:r>
    </w:p>
    <w:p>
      <w:pPr>
        <w:pStyle w:val="3"/>
        <w:bidi w:val="0"/>
        <w:rPr>
          <w:rFonts w:hint="default"/>
          <w:lang w:val="en-US" w:eastAsia="zh-CN"/>
        </w:rPr>
      </w:pPr>
      <w:bookmarkStart w:id="39" w:name="_Toc3193"/>
      <w:r>
        <w:rPr>
          <w:rFonts w:hint="eastAsia"/>
          <w:lang w:val="en-US" w:eastAsia="zh-CN"/>
        </w:rPr>
        <w:t>过程测量指标</w:t>
      </w:r>
      <w:bookmarkEnd w:id="39"/>
    </w:p>
    <w:p>
      <w:pPr>
        <w:pStyle w:val="a1"/>
        <w:rPr>
          <w:rFonts w:hint="eastAsia"/>
          <w:lang w:val="en-US" w:eastAsia="zh-CN"/>
        </w:rPr>
      </w:pPr>
      <w:r>
        <w:rPr>
          <w:rFonts w:hint="eastAsia"/>
          <w:lang w:val="en-US" w:eastAsia="zh-CN"/>
        </w:rPr>
        <w:t>服务可用性和连续性测量指标如表4-1所示</w:t>
      </w:r>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874"/>
        <w:gridCol w:w="3602"/>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87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602"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874" w:type="dxa"/>
          </w:tcPr>
          <w:p>
            <w:pPr>
              <w:pStyle w:val="a1"/>
              <w:widowControl w:val="0"/>
              <w:ind w:left="0" w:firstLine="0" w:leftChars="0" w:firstLineChars="0"/>
              <w:jc w:val="left"/>
              <w:rPr>
                <w:rFonts w:eastAsia="宋体" w:hint="default"/>
                <w:sz w:val="21"/>
                <w:szCs w:val="21"/>
                <w:vertAlign w:val="baseline"/>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关键服务可用率</w:t>
            </w:r>
          </w:p>
        </w:tc>
        <w:tc>
          <w:tcPr>
            <w:tcW w:w="3602" w:type="dxa"/>
          </w:tcPr>
          <w:p>
            <w:pPr>
              <w:pStyle w:val="a1"/>
              <w:widowControl w:val="0"/>
              <w:ind w:left="0" w:firstLine="0" w:leftChars="0" w:firstLineChars="0"/>
              <w:jc w:val="left"/>
              <w:rPr>
                <w:rFonts w:hint="default"/>
                <w:sz w:val="21"/>
                <w:szCs w:val="21"/>
                <w:vertAlign w:val="baseline"/>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(服务约定运行时间 - 服务不可用时间) / 服务约定运行时间 × 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≥99%</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1874" w:type="dxa"/>
          </w:tcPr>
          <w:p>
            <w:pPr>
              <w:pStyle w:val="a1"/>
              <w:widowControl w:val="0"/>
              <w:ind w:left="0" w:firstLine="0" w:leftChars="0" w:firstLineChars="0"/>
              <w:jc w:val="left"/>
              <w:rPr>
                <w:rFonts w:ascii="Segoe UI" w:eastAsia="Segoe UI" w:hAnsi="Segoe UI" w:cs="Segoe UI" w:hint="eastAsia"/>
                <w:i w:val="0"/>
                <w:iCs w:val="0"/>
                <w:caps w:val="0"/>
                <w:color w:val="0F1115"/>
                <w:spacing w:val="0"/>
                <w:sz w:val="19"/>
                <w:szCs w:val="19"/>
                <w:shd w:val="clear" w:color="auto" w:fill="FFFFFF"/>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服务中断事件数量</w:t>
            </w:r>
          </w:p>
        </w:tc>
        <w:tc>
          <w:tcPr>
            <w:tcW w:w="3602" w:type="dxa"/>
          </w:tcPr>
          <w:p>
            <w:pPr>
              <w:pStyle w:val="a1"/>
              <w:widowControl w:val="0"/>
              <w:ind w:left="0" w:firstLine="0" w:leftChars="0" w:firstLineChars="0"/>
              <w:jc w:val="left"/>
              <w:rPr>
                <w:rFonts w:ascii="Segoe UI" w:eastAsia="Segoe UI" w:hAnsi="Segoe UI" w:cs="Segoe UI" w:hint="eastAsia"/>
                <w:i w:val="0"/>
                <w:iCs w:val="0"/>
                <w:caps w:val="0"/>
                <w:color w:val="0F1115"/>
                <w:spacing w:val="0"/>
                <w:sz w:val="19"/>
                <w:szCs w:val="19"/>
                <w:shd w:val="clear" w:color="auto" w:fill="FFFFFF"/>
                <w:lang w:val="en-US" w:eastAsia="zh-CN"/>
              </w:rPr>
            </w:pPr>
            <w:r>
              <w:rPr>
                <w:rFonts w:ascii="Segoe UI" w:eastAsia="Segoe UI" w:hAnsi="Segoe UI" w:cs="Segoe UI"/>
                <w:i w:val="0"/>
                <w:iCs w:val="0"/>
                <w:caps w:val="0"/>
                <w:color w:val="0F1115"/>
                <w:spacing w:val="0"/>
                <w:sz w:val="18"/>
                <w:szCs w:val="18"/>
                <w:shd w:val="clear" w:color="auto" w:fill="FFFFFF"/>
              </w:rPr>
              <w:t>统计期内导致服务不可用的事件发生次数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微软雅黑" w:eastAsia="微软雅黑" w:hAnsi="微软雅黑" w:cs="微软雅黑" w:hint="eastAsia"/>
                <w:sz w:val="21"/>
                <w:szCs w:val="21"/>
                <w:vertAlign w:val="baseline"/>
                <w:lang w:val="en-US" w:eastAsia="zh-CN"/>
              </w:rPr>
            </w:pPr>
            <w:r>
              <w:rPr>
                <w:rFonts w:ascii="Segoe UI" w:eastAsia="Segoe UI" w:hAnsi="Segoe UI" w:cs="Segoe UI"/>
                <w:i w:val="0"/>
                <w:iCs w:val="0"/>
                <w:caps w:val="0"/>
                <w:color w:val="0F1115"/>
                <w:spacing w:val="0"/>
                <w:sz w:val="18"/>
                <w:szCs w:val="18"/>
                <w:shd w:val="clear" w:color="auto" w:fill="FFFFFF"/>
              </w:rPr>
              <w:t>≤</w:t>
            </w:r>
            <w:r>
              <w:rPr>
                <w:rFonts w:ascii="Segoe UI" w:eastAsia="宋体" w:hAnsi="Segoe UI" w:cs="Segoe UI" w:hint="eastAsia"/>
                <w:i w:val="0"/>
                <w:iCs w:val="0"/>
                <w:caps w:val="0"/>
                <w:color w:val="0F1115"/>
                <w:spacing w:val="0"/>
                <w:sz w:val="18"/>
                <w:szCs w:val="18"/>
                <w:shd w:val="clear" w:color="auto" w:fill="FFFFFF"/>
                <w:lang w:val="en-US" w:eastAsia="zh-CN"/>
              </w:rPr>
              <w:t>1</w:t>
            </w:r>
            <w:r>
              <w:rPr>
                <w:rFonts w:ascii="Segoe UI" w:eastAsia="Segoe UI" w:hAnsi="Segoe UI" w:cs="Segoe UI"/>
                <w:i w:val="0"/>
                <w:iCs w:val="0"/>
                <w:caps w:val="0"/>
                <w:color w:val="0F1115"/>
                <w:spacing w:val="0"/>
                <w:sz w:val="18"/>
                <w:szCs w:val="18"/>
                <w:shd w:val="clear" w:color="auto" w:fill="FFFFFF"/>
              </w:rPr>
              <w:t>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40" w:name="bookmark3"/>
      <w:bookmarkEnd w:id="40"/>
      <w:bookmarkStart w:id="41" w:name="_Toc1091"/>
      <w:bookmarkStart w:id="42" w:name="_Toc17424"/>
      <w:r>
        <w:rPr>
          <w:rStyle w:val="1Char"/>
          <w:rFonts w:eastAsia="宋体" w:hint="eastAsia"/>
          <w:lang w:val="en-US" w:eastAsia="zh-CN"/>
        </w:rPr>
        <w:t>附则</w:t>
      </w:r>
      <w:bookmarkEnd w:id="41"/>
      <w:bookmarkEnd w:id="42"/>
    </w:p>
    <w:p>
      <w:pPr>
        <w:keepNext w:val="0"/>
        <w:keepLines w:val="0"/>
        <w:pageBreakBefore w:val="0"/>
        <w:widowControl w:val="0"/>
        <w:numPr>
          <w:ilvl w:val="0"/>
          <w:numId w:val="2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综合管理部</w:t>
      </w:r>
      <w:r>
        <w:rPr>
          <w:rFonts w:ascii="宋体" w:eastAsia="宋体" w:hAnsi="宋体" w:cs="宋体"/>
          <w:spacing w:val="-1"/>
          <w:sz w:val="24"/>
          <w:szCs w:val="24"/>
        </w:rPr>
        <w:t>。</w:t>
      </w:r>
    </w:p>
    <w:p>
      <w:pPr>
        <w:keepNext w:val="0"/>
        <w:keepLines w:val="0"/>
        <w:pageBreakBefore w:val="0"/>
        <w:widowControl w:val="0"/>
        <w:numPr>
          <w:ilvl w:val="0"/>
          <w:numId w:val="2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3" w:name="bookmark14"/>
      <w:bookmarkEnd w:id="43"/>
      <w:bookmarkStart w:id="44" w:name="_Toc10980"/>
      <w:r>
        <w:rPr>
          <w:rFonts w:hint="eastAsia"/>
          <w:lang w:val="en-US" w:eastAsia="zh-CN"/>
        </w:rPr>
        <w:t>附件</w:t>
      </w:r>
      <w:bookmarkEnd w:id="44"/>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5" w:name="_Toc24695"/>
      <w:r>
        <w:rPr>
          <w:rFonts w:hint="eastAsia"/>
          <w:lang w:val="en-US" w:eastAsia="zh-CN"/>
        </w:rPr>
        <w:t>记录</w:t>
      </w:r>
      <w:bookmarkEnd w:id="4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86BC0D"/>
    <w:multiLevelType w:val="singleLevel"/>
    <w:tmpl w:val="8886BC0D"/>
    <w:lvl w:ilvl="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8F775B85"/>
    <w:multiLevelType w:val="singleLevel"/>
    <w:tmpl w:val="8F775B85"/>
    <w:lvl w:ilvl="0">
      <w:start w:val="1"/>
      <w:numFmt w:val="decimal"/>
      <w:lvlText w:val="%1."/>
      <w:lvlJc w:val="left"/>
      <w:pPr>
        <w:ind w:left="425" w:hanging="425"/>
      </w:pPr>
      <w:rPr>
        <w:rFonts w:hint="default"/>
      </w:rPr>
    </w:lvl>
  </w:abstractNum>
  <w:abstractNum w:abstractNumId="3">
    <w:nsid w:val="9B893E50"/>
    <w:multiLevelType w:val="singleLevel"/>
    <w:tmpl w:val="9B893E50"/>
    <w:lvl w:ilvl="0">
      <w:start w:val="1"/>
      <w:numFmt w:val="decimal"/>
      <w:lvlText w:val="%1."/>
      <w:lvlJc w:val="left"/>
      <w:pPr>
        <w:ind w:left="425" w:hanging="425"/>
      </w:pPr>
      <w:rPr>
        <w:rFonts w:hint="default"/>
      </w:rPr>
    </w:lvl>
  </w:abstractNum>
  <w:abstractNum w:abstractNumId="4">
    <w:nsid w:val="9D3EBC90"/>
    <w:multiLevelType w:val="singleLevel"/>
    <w:tmpl w:val="9D3EBC90"/>
    <w:lvl w:ilvl="0">
      <w:start w:val="1"/>
      <w:numFmt w:val="decimal"/>
      <w:lvlText w:val="(%1)"/>
      <w:lvlJc w:val="left"/>
      <w:pPr>
        <w:tabs>
          <w:tab w:val="left" w:pos="420"/>
        </w:tabs>
        <w:ind w:left="845" w:hanging="425"/>
      </w:pPr>
      <w:rPr>
        <w:rFonts w:hint="default"/>
      </w:rPr>
    </w:lvl>
  </w:abstractNum>
  <w:abstractNum w:abstractNumId="5">
    <w:nsid w:val="A1F41FA0"/>
    <w:multiLevelType w:val="singleLevel"/>
    <w:tmpl w:val="A1F41FA0"/>
    <w:lvl w:ilvl="0">
      <w:start w:val="1"/>
      <w:numFmt w:val="decimal"/>
      <w:lvlText w:val="(%1)"/>
      <w:lvlJc w:val="left"/>
      <w:pPr>
        <w:tabs>
          <w:tab w:val="left" w:pos="420"/>
        </w:tabs>
        <w:ind w:left="845" w:hanging="425"/>
      </w:pPr>
      <w:rPr>
        <w:rFonts w:hint="default"/>
      </w:rPr>
    </w:lvl>
  </w:abstractNum>
  <w:abstractNum w:abstractNumId="6">
    <w:nsid w:val="A4765F0D"/>
    <w:multiLevelType w:val="singleLevel"/>
    <w:tmpl w:val="A4765F0D"/>
    <w:lvl w:ilvl="0">
      <w:start w:val="1"/>
      <w:numFmt w:val="decimal"/>
      <w:lvlText w:val="%1."/>
      <w:lvlJc w:val="left"/>
      <w:pPr>
        <w:ind w:left="425" w:hanging="425"/>
      </w:pPr>
      <w:rPr>
        <w:rFonts w:hint="default"/>
      </w:rPr>
    </w:lvl>
  </w:abstractNum>
  <w:abstractNum w:abstractNumId="7">
    <w:nsid w:val="A56C2F11"/>
    <w:multiLevelType w:val="singleLevel"/>
    <w:tmpl w:val="A56C2F11"/>
    <w:lvl w:ilvl="0">
      <w:start w:val="1"/>
      <w:numFmt w:val="decimal"/>
      <w:lvlText w:val="(%1)"/>
      <w:lvlJc w:val="left"/>
      <w:pPr>
        <w:tabs>
          <w:tab w:val="left" w:pos="420"/>
        </w:tabs>
        <w:ind w:left="845" w:hanging="425"/>
      </w:pPr>
      <w:rPr>
        <w:rFonts w:hint="default"/>
      </w:rPr>
    </w:lvl>
  </w:abstractNum>
  <w:abstractNum w:abstractNumId="8">
    <w:nsid w:val="A690AE1D"/>
    <w:multiLevelType w:val="singleLevel"/>
    <w:tmpl w:val="A690AE1D"/>
    <w:lvl w:ilvl="0">
      <w:start w:val="1"/>
      <w:numFmt w:val="decimal"/>
      <w:lvlText w:val="%1."/>
      <w:lvlJc w:val="left"/>
      <w:pPr>
        <w:ind w:left="425" w:hanging="425"/>
      </w:pPr>
      <w:rPr>
        <w:rFonts w:hint="default"/>
      </w:rPr>
    </w:lvl>
  </w:abstractNum>
  <w:abstractNum w:abstractNumId="9">
    <w:nsid w:val="A785F193"/>
    <w:multiLevelType w:val="singleLevel"/>
    <w:tmpl w:val="A785F193"/>
    <w:lvl w:ilvl="0">
      <w:start w:val="1"/>
      <w:numFmt w:val="decimal"/>
      <w:lvlText w:val="%1."/>
      <w:lvlJc w:val="left"/>
      <w:pPr>
        <w:ind w:left="425" w:hanging="425"/>
      </w:pPr>
      <w:rPr>
        <w:rFonts w:hint="default"/>
      </w:rPr>
    </w:lvl>
  </w:abstractNum>
  <w:abstractNum w:abstractNumId="10">
    <w:nsid w:val="B7060A27"/>
    <w:multiLevelType w:val="singleLevel"/>
    <w:tmpl w:val="B7060A27"/>
    <w:lvl w:ilvl="0">
      <w:start w:val="1"/>
      <w:numFmt w:val="decimal"/>
      <w:lvlText w:val="%1."/>
      <w:lvlJc w:val="left"/>
      <w:pPr>
        <w:ind w:left="425" w:hanging="425"/>
      </w:pPr>
      <w:rPr>
        <w:rFonts w:hint="default"/>
      </w:rPr>
    </w:lvl>
  </w:abstractNum>
  <w:abstractNum w:abstractNumId="11">
    <w:nsid w:val="BA054120"/>
    <w:multiLevelType w:val="singleLevel"/>
    <w:tmpl w:val="BA054120"/>
    <w:lvl w:ilvl="0">
      <w:start w:val="1"/>
      <w:numFmt w:val="decimal"/>
      <w:lvlText w:val="%1."/>
      <w:lvlJc w:val="left"/>
      <w:pPr>
        <w:ind w:left="425" w:hanging="425"/>
      </w:pPr>
      <w:rPr>
        <w:rFonts w:hint="default"/>
      </w:rPr>
    </w:lvl>
  </w:abstractNum>
  <w:abstractNum w:abstractNumId="12">
    <w:nsid w:val="C9BFB0F4"/>
    <w:multiLevelType w:val="singleLevel"/>
    <w:tmpl w:val="C9BFB0F4"/>
    <w:lvl w:ilvl="0">
      <w:start w:val="1"/>
      <w:numFmt w:val="decimal"/>
      <w:lvlText w:val="(%1)"/>
      <w:lvlJc w:val="left"/>
      <w:pPr>
        <w:ind w:left="425" w:hanging="425"/>
      </w:pPr>
      <w:rPr>
        <w:rFonts w:hint="default"/>
      </w:rPr>
    </w:lvl>
  </w:abstractNum>
  <w:abstractNum w:abstractNumId="13">
    <w:nsid w:val="CD5B835A"/>
    <w:multiLevelType w:val="singleLevel"/>
    <w:tmpl w:val="CD5B835A"/>
    <w:lvl w:ilvl="0">
      <w:start w:val="1"/>
      <w:numFmt w:val="decimal"/>
      <w:lvlText w:val="%1."/>
      <w:lvlJc w:val="left"/>
      <w:pPr>
        <w:ind w:left="425" w:hanging="425"/>
      </w:pPr>
      <w:rPr>
        <w:rFonts w:hint="default"/>
      </w:rPr>
    </w:lvl>
  </w:abstractNum>
  <w:abstractNum w:abstractNumId="14">
    <w:nsid w:val="D092D5FB"/>
    <w:multiLevelType w:val="singleLevel"/>
    <w:tmpl w:val="D092D5FB"/>
    <w:lvl w:ilvl="0">
      <w:start w:val="1"/>
      <w:numFmt w:val="decimal"/>
      <w:lvlText w:val="%1."/>
      <w:lvlJc w:val="left"/>
      <w:pPr>
        <w:ind w:left="425" w:hanging="425"/>
      </w:pPr>
      <w:rPr>
        <w:rFonts w:hint="default"/>
      </w:rPr>
    </w:lvl>
  </w:abstractNum>
  <w:abstractNum w:abstractNumId="15">
    <w:nsid w:val="E4D03AA4"/>
    <w:multiLevelType w:val="singleLevel"/>
    <w:tmpl w:val="E4D03AA4"/>
    <w:lvl w:ilvl="0">
      <w:start w:val="1"/>
      <w:numFmt w:val="decimal"/>
      <w:lvlText w:val="%1."/>
      <w:lvlJc w:val="left"/>
      <w:pPr>
        <w:ind w:left="425" w:hanging="425"/>
      </w:pPr>
      <w:rPr>
        <w:rFonts w:hint="default"/>
      </w:rPr>
    </w:lvl>
  </w:abstractNum>
  <w:abstractNum w:abstractNumId="16">
    <w:nsid w:val="F4663B23"/>
    <w:multiLevelType w:val="singleLevel"/>
    <w:tmpl w:val="F4663B23"/>
    <w:lvl w:ilvl="0">
      <w:start w:val="1"/>
      <w:numFmt w:val="decimal"/>
      <w:lvlText w:val="(%1)"/>
      <w:lvlJc w:val="left"/>
      <w:pPr>
        <w:tabs>
          <w:tab w:val="left" w:pos="420"/>
        </w:tabs>
        <w:ind w:left="845" w:hanging="425"/>
      </w:pPr>
      <w:rPr>
        <w:rFonts w:hint="default"/>
      </w:rPr>
    </w:lvl>
  </w:abstractNum>
  <w:abstractNum w:abstractNumId="17">
    <w:nsid w:val="F9539CF3"/>
    <w:multiLevelType w:val="singleLevel"/>
    <w:tmpl w:val="F9539CF3"/>
    <w:lvl w:ilvl="0">
      <w:start w:val="1"/>
      <w:numFmt w:val="decimal"/>
      <w:lvlText w:val="%1."/>
      <w:lvlJc w:val="left"/>
      <w:pPr>
        <w:ind w:left="425" w:hanging="425"/>
      </w:pPr>
      <w:rPr>
        <w:rFonts w:hint="default"/>
      </w:rPr>
    </w:lvl>
  </w:abstractNum>
  <w:abstractNum w:abstractNumId="18">
    <w:nsid w:val="051D2CC1"/>
    <w:multiLevelType w:val="singleLevel"/>
    <w:tmpl w:val="051D2CC1"/>
    <w:lvl w:ilvl="0">
      <w:start w:val="1"/>
      <w:numFmt w:val="decimal"/>
      <w:lvlText w:val="%1."/>
      <w:lvlJc w:val="left"/>
      <w:pPr>
        <w:ind w:left="425" w:hanging="425"/>
      </w:pPr>
      <w:rPr>
        <w:rFonts w:hint="default"/>
      </w:rPr>
    </w:lvl>
  </w:abstractNum>
  <w:abstractNum w:abstractNumId="19">
    <w:nsid w:val="236B5546"/>
    <w:multiLevelType w:val="singleLevel"/>
    <w:tmpl w:val="236B5546"/>
    <w:lvl w:ilvl="0">
      <w:start w:val="1"/>
      <w:numFmt w:val="decimal"/>
      <w:lvlText w:val="%1."/>
      <w:lvlJc w:val="left"/>
      <w:pPr>
        <w:ind w:left="425" w:hanging="425"/>
      </w:pPr>
      <w:rPr>
        <w:rFonts w:hint="default"/>
      </w:rPr>
    </w:lvl>
  </w:abstractNum>
  <w:abstractNum w:abstractNumId="20">
    <w:nsid w:val="247B630F"/>
    <w:multiLevelType w:val="singleLevel"/>
    <w:tmpl w:val="247B630F"/>
    <w:lvl w:ilvl="0">
      <w:start w:val="1"/>
      <w:numFmt w:val="decimal"/>
      <w:lvlText w:val="%1."/>
      <w:lvlJc w:val="left"/>
      <w:pPr>
        <w:ind w:left="425" w:hanging="425"/>
      </w:pPr>
      <w:rPr>
        <w:rFonts w:hint="default"/>
      </w:rPr>
    </w:lvl>
  </w:abstractNum>
  <w:abstractNum w:abstractNumId="21">
    <w:nsid w:val="454B5F9F"/>
    <w:multiLevelType w:val="singleLevel"/>
    <w:tmpl w:val="454B5F9F"/>
    <w:lvl w:ilvl="0">
      <w:start w:val="1"/>
      <w:numFmt w:val="decimal"/>
      <w:lvlText w:val="%1."/>
      <w:lvlJc w:val="left"/>
      <w:pPr>
        <w:ind w:left="425" w:hanging="425"/>
      </w:pPr>
      <w:rPr>
        <w:rFonts w:hint="default"/>
      </w:rPr>
    </w:lvl>
  </w:abstractNum>
  <w:abstractNum w:abstractNumId="22">
    <w:nsid w:val="58D3A087"/>
    <w:multiLevelType w:val="singleLevel"/>
    <w:tmpl w:val="58D3A087"/>
    <w:lvl w:ilvl="0">
      <w:start w:val="1"/>
      <w:numFmt w:val="decimal"/>
      <w:lvlText w:val="%1."/>
      <w:lvlJc w:val="left"/>
      <w:pPr>
        <w:ind w:left="425" w:hanging="425"/>
      </w:pPr>
      <w:rPr>
        <w:rFonts w:hint="default"/>
      </w:rPr>
    </w:lvl>
  </w:abstractNum>
  <w:abstractNum w:abstractNumId="23">
    <w:nsid w:val="5A262505"/>
    <w:multiLevelType w:val="singleLevel"/>
    <w:tmpl w:val="5A262505"/>
    <w:lvl w:ilvl="0">
      <w:start w:val="1"/>
      <w:numFmt w:val="decimal"/>
      <w:lvlText w:val="(%1)"/>
      <w:lvlJc w:val="left"/>
      <w:pPr>
        <w:tabs>
          <w:tab w:val="left" w:pos="420"/>
        </w:tabs>
        <w:ind w:left="845" w:hanging="425"/>
      </w:pPr>
      <w:rPr>
        <w:rFonts w:hint="default"/>
      </w:rPr>
    </w:lvl>
  </w:abstractNum>
  <w:abstractNum w:abstractNumId="24">
    <w:nsid w:val="5B3DEA92"/>
    <w:multiLevelType w:val="singleLevel"/>
    <w:tmpl w:val="5B3DEA92"/>
    <w:lvl w:ilvl="0">
      <w:start w:val="1"/>
      <w:numFmt w:val="decimal"/>
      <w:lvlText w:val="(%1)"/>
      <w:lvlJc w:val="left"/>
      <w:pPr>
        <w:tabs>
          <w:tab w:val="left" w:pos="420"/>
        </w:tabs>
        <w:ind w:left="845" w:hanging="425"/>
      </w:pPr>
      <w:rPr>
        <w:rFonts w:hint="default"/>
      </w:rPr>
    </w:lvl>
  </w:abstractNum>
  <w:abstractNum w:abstractNumId="25">
    <w:nsid w:val="5F5071D4"/>
    <w:multiLevelType w:val="singleLevel"/>
    <w:tmpl w:val="5F5071D4"/>
    <w:lvl w:ilvl="0">
      <w:start w:val="1"/>
      <w:numFmt w:val="decimal"/>
      <w:lvlText w:val="%1."/>
      <w:lvlJc w:val="left"/>
      <w:pPr>
        <w:ind w:left="425" w:hanging="425"/>
      </w:pPr>
      <w:rPr>
        <w:rFonts w:hint="default"/>
      </w:rPr>
    </w:lvl>
  </w:abstractNum>
  <w:abstractNum w:abstractNumId="26">
    <w:nsid w:val="70272A2B"/>
    <w:multiLevelType w:val="singleLevel"/>
    <w:tmpl w:val="70272A2B"/>
    <w:lvl w:ilvl="0">
      <w:start w:val="1"/>
      <w:numFmt w:val="decimal"/>
      <w:lvlText w:val="%1."/>
      <w:lvlJc w:val="left"/>
      <w:pPr>
        <w:ind w:left="425" w:hanging="425"/>
      </w:pPr>
      <w:rPr>
        <w:rFonts w:hint="default"/>
      </w:rPr>
    </w:lvl>
  </w:abstractNum>
  <w:abstractNum w:abstractNumId="27">
    <w:nsid w:val="7DFA36E5"/>
    <w:multiLevelType w:val="singleLevel"/>
    <w:tmpl w:val="7DFA36E5"/>
    <w:lvl w:ilvl="0">
      <w:start w:val="1"/>
      <w:numFmt w:val="decimal"/>
      <w:lvlText w:val="%1."/>
      <w:lvlJc w:val="left"/>
      <w:pPr>
        <w:ind w:left="425" w:hanging="425"/>
      </w:pPr>
      <w:rPr>
        <w:rFonts w:hint="default"/>
      </w:rPr>
    </w:lvl>
  </w:abstractNum>
  <w:num w:numId="1">
    <w:abstractNumId w:val="1"/>
  </w:num>
  <w:num w:numId="2">
    <w:abstractNumId w:val="8"/>
  </w:num>
  <w:num w:numId="3">
    <w:abstractNumId w:val="26"/>
  </w:num>
  <w:num w:numId="4">
    <w:abstractNumId w:val="6"/>
  </w:num>
  <w:num w:numId="5">
    <w:abstractNumId w:val="9"/>
  </w:num>
  <w:num w:numId="6">
    <w:abstractNumId w:val="2"/>
  </w:num>
  <w:num w:numId="7">
    <w:abstractNumId w:val="15"/>
  </w:num>
  <w:num w:numId="8">
    <w:abstractNumId w:val="10"/>
  </w:num>
  <w:num w:numId="9">
    <w:abstractNumId w:val="22"/>
  </w:num>
  <w:num w:numId="10">
    <w:abstractNumId w:val="25"/>
  </w:num>
  <w:num w:numId="11">
    <w:abstractNumId w:val="5"/>
  </w:num>
  <w:num w:numId="12">
    <w:abstractNumId w:val="11"/>
  </w:num>
  <w:num w:numId="13">
    <w:abstractNumId w:val="7"/>
  </w:num>
  <w:num w:numId="14">
    <w:abstractNumId w:val="18"/>
  </w:num>
  <w:num w:numId="15">
    <w:abstractNumId w:val="4"/>
  </w:num>
  <w:num w:numId="16">
    <w:abstractNumId w:val="27"/>
  </w:num>
  <w:num w:numId="17">
    <w:abstractNumId w:val="23"/>
  </w:num>
  <w:num w:numId="18">
    <w:abstractNumId w:val="19"/>
  </w:num>
  <w:num w:numId="19">
    <w:abstractNumId w:val="12"/>
  </w:num>
  <w:num w:numId="20">
    <w:abstractNumId w:val="24"/>
  </w:num>
  <w:num w:numId="21">
    <w:abstractNumId w:val="21"/>
  </w:num>
  <w:num w:numId="22">
    <w:abstractNumId w:val="16"/>
  </w:num>
  <w:num w:numId="23">
    <w:abstractNumId w:val="3"/>
  </w:num>
  <w:num w:numId="24">
    <w:abstractNumId w:val="0"/>
  </w:num>
  <w:num w:numId="25">
    <w:abstractNumId w:val="20"/>
  </w:num>
  <w:num w:numId="26">
    <w:abstractNumId w:val="14"/>
  </w:num>
  <w:num w:numId="27">
    <w:abstractNumId w:val="1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2989</Words>
  <Characters>3321</Characters>
  <Application>Microsoft Office Word</Application>
  <DocSecurity>0</DocSecurity>
  <Lines>0</Lines>
  <Paragraphs>0</Paragraphs>
  <ScaleCrop>false</ScaleCrop>
  <Company/>
  <LinksUpToDate>false</LinksUpToDate>
  <CharactersWithSpaces>3508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2026-03-21T01:22:24Z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