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7908"/>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4090"/>
      <w:r>
        <w:rPr>
          <w:rFonts w:hint="eastAsia"/>
          <w:lang w:val="en-US" w:eastAsia="zh-CN"/>
        </w:rPr>
        <w:t>信息安全管理制度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w:t>
      </w:r>
      <w:r>
        <w:rPr>
          <w:rFonts w:ascii="宋体" w:eastAsia="宋体" w:hAnsi="宋体" w:cs="宋体"/>
          <w:b/>
          <w:bCs/>
          <w:spacing w:val="-3"/>
          <w:sz w:val="24"/>
          <w:szCs w:val="24"/>
        </w:rPr>
        <w:t>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_Toc17908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_Toc17908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_Toc4090 </w:instrText>
          </w:r>
          <w:r>
            <w:rPr>
              <w:rFonts w:ascii="宋体" w:eastAsia="宋体" w:hAnsi="宋体" w:cs="宋体" w:hint="eastAsia"/>
              <w:szCs w:val="24"/>
            </w:rPr>
            <w:fldChar w:fldCharType="separate"/>
          </w:r>
          <w:r>
            <w:rPr>
              <w:rFonts w:hint="eastAsia"/>
              <w:lang w:val="en-US" w:eastAsia="zh-CN"/>
            </w:rPr>
            <w:t>信息安全管理制度</w:t>
          </w:r>
          <w:r>
            <w:tab/>
          </w:r>
          <w:r>
            <w:fldChar w:fldCharType="begin"/>
          </w:r>
          <w:r>
            <w:instrText xml:space="preserve"> PAGEREF _Toc4090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_Toc29910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_Toc29910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_Toc15018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_Toc15018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_Toc5224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_Toc5224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_Toc11311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_Toc11311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_Toc16836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_Toc16836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_Toc18041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运维部经理</w:t>
          </w:r>
          <w:r>
            <w:tab/>
          </w:r>
          <w:r>
            <w:fldChar w:fldCharType="begin"/>
          </w:r>
          <w:r>
            <w:instrText xml:space="preserve"> PAGEREF _Toc18041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_Toc4975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运维工程师</w:t>
          </w:r>
          <w:r>
            <w:tab/>
          </w:r>
          <w:r>
            <w:fldChar w:fldCharType="begin"/>
          </w:r>
          <w:r>
            <w:instrText xml:space="preserve"> PAGEREF _Toc4975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_Toc22785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_Toc22785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_Toc2523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_Toc2523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_Toc7625 </w:instrText>
          </w:r>
          <w:r>
            <w:rPr>
              <w:rFonts w:ascii="宋体" w:eastAsia="宋体" w:hAnsi="宋体" w:cs="宋体" w:hint="eastAsia"/>
              <w:szCs w:val="24"/>
            </w:rPr>
            <w:fldChar w:fldCharType="separate"/>
          </w:r>
          <w:r>
            <w:rPr>
              <w:rFonts w:hint="default"/>
            </w:rPr>
            <w:t xml:space="preserve">3.1. </w:t>
          </w:r>
          <w:r>
            <w:rPr>
              <w:rFonts w:hint="eastAsia"/>
            </w:rPr>
            <w:t>信息资产</w:t>
          </w:r>
          <w:r>
            <w:tab/>
          </w:r>
          <w:r>
            <w:fldChar w:fldCharType="begin"/>
          </w:r>
          <w:r>
            <w:instrText xml:space="preserve"> PAGEREF _Toc7625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_Toc11513 </w:instrText>
          </w:r>
          <w:r>
            <w:rPr>
              <w:rFonts w:ascii="宋体" w:eastAsia="宋体" w:hAnsi="宋体" w:cs="宋体" w:hint="eastAsia"/>
              <w:szCs w:val="24"/>
            </w:rPr>
            <w:fldChar w:fldCharType="separate"/>
          </w:r>
          <w:r>
            <w:rPr>
              <w:rFonts w:hint="default"/>
            </w:rPr>
            <w:t xml:space="preserve">3.2. </w:t>
          </w:r>
          <w:r>
            <w:rPr>
              <w:rFonts w:hint="eastAsia"/>
            </w:rPr>
            <w:t>信息安全事件</w:t>
          </w:r>
          <w:r>
            <w:tab/>
          </w:r>
          <w:r>
            <w:fldChar w:fldCharType="begin"/>
          </w:r>
          <w:r>
            <w:instrText xml:space="preserve"> PAGEREF _Toc11513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_Toc9004 </w:instrText>
          </w:r>
          <w:r>
            <w:rPr>
              <w:rFonts w:ascii="宋体" w:eastAsia="宋体" w:hAnsi="宋体" w:cs="宋体" w:hint="eastAsia"/>
              <w:szCs w:val="24"/>
            </w:rPr>
            <w:fldChar w:fldCharType="separate"/>
          </w:r>
          <w:r>
            <w:rPr>
              <w:rFonts w:hint="default"/>
            </w:rPr>
            <w:t xml:space="preserve">3.3. </w:t>
          </w:r>
          <w:r>
            <w:rPr>
              <w:rFonts w:hint="eastAsia"/>
            </w:rPr>
            <w:t>风险评估</w:t>
          </w:r>
          <w:r>
            <w:tab/>
          </w:r>
          <w:r>
            <w:fldChar w:fldCharType="begin"/>
          </w:r>
          <w:r>
            <w:instrText xml:space="preserve"> PAGEREF _Toc9004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_Toc1848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_Toc1848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_Toc12630 </w:instrText>
          </w:r>
          <w:r>
            <w:rPr>
              <w:rFonts w:ascii="宋体" w:eastAsia="宋体" w:hAnsi="宋体" w:cs="宋体" w:hint="eastAsia"/>
              <w:szCs w:val="24"/>
            </w:rPr>
            <w:fldChar w:fldCharType="separate"/>
          </w:r>
          <w:r>
            <w:rPr>
              <w:rFonts w:hint="default"/>
              <w:lang w:val="en-US" w:eastAsia="zh-CN"/>
            </w:rPr>
            <w:t>4.1. 资产识别与分类</w:t>
          </w:r>
          <w:r>
            <w:tab/>
          </w:r>
          <w:r>
            <w:fldChar w:fldCharType="begin"/>
          </w:r>
          <w:r>
            <w:instrText xml:space="preserve"> PAGEREF _Toc12630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_Toc29097 </w:instrText>
          </w:r>
          <w:r>
            <w:rPr>
              <w:rFonts w:ascii="宋体" w:eastAsia="宋体" w:hAnsi="宋体" w:cs="宋体" w:hint="eastAsia"/>
              <w:szCs w:val="24"/>
            </w:rPr>
            <w:fldChar w:fldCharType="separate"/>
          </w:r>
          <w:r>
            <w:rPr>
              <w:rFonts w:hint="default"/>
              <w:lang w:val="en-US" w:eastAsia="zh-CN"/>
            </w:rPr>
            <w:t>4.2. 风险识别与评估</w:t>
          </w:r>
          <w:r>
            <w:tab/>
          </w:r>
          <w:r>
            <w:fldChar w:fldCharType="begin"/>
          </w:r>
          <w:r>
            <w:instrText xml:space="preserve"> PAGEREF _Toc29097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_Toc28767 </w:instrText>
          </w:r>
          <w:r>
            <w:rPr>
              <w:rFonts w:ascii="宋体" w:eastAsia="宋体" w:hAnsi="宋体" w:cs="宋体" w:hint="eastAsia"/>
              <w:szCs w:val="24"/>
            </w:rPr>
            <w:fldChar w:fldCharType="separate"/>
          </w:r>
          <w:r>
            <w:rPr>
              <w:rFonts w:hint="default"/>
              <w:lang w:val="en-US" w:eastAsia="zh-CN"/>
            </w:rPr>
            <w:t>4.2.1. 风险识别</w:t>
          </w:r>
          <w:r>
            <w:tab/>
          </w:r>
          <w:r>
            <w:fldChar w:fldCharType="begin"/>
          </w:r>
          <w:r>
            <w:instrText xml:space="preserve"> PAGEREF _Toc28767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_Toc545 </w:instrText>
          </w:r>
          <w:r>
            <w:rPr>
              <w:rFonts w:ascii="宋体" w:eastAsia="宋体" w:hAnsi="宋体" w:cs="宋体" w:hint="eastAsia"/>
              <w:szCs w:val="24"/>
            </w:rPr>
            <w:fldChar w:fldCharType="separate"/>
          </w:r>
          <w:r>
            <w:rPr>
              <w:rFonts w:hint="default"/>
              <w:lang w:val="en-US" w:eastAsia="zh-CN"/>
            </w:rPr>
            <w:t>4.2.2. 风险评估</w:t>
          </w:r>
          <w:r>
            <w:tab/>
          </w:r>
          <w:r>
            <w:fldChar w:fldCharType="begin"/>
          </w:r>
          <w:r>
            <w:instrText xml:space="preserve"> PAGEREF _Toc545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_Toc31837 </w:instrText>
          </w:r>
          <w:r>
            <w:rPr>
              <w:rFonts w:ascii="宋体" w:eastAsia="宋体" w:hAnsi="宋体" w:cs="宋体" w:hint="eastAsia"/>
              <w:szCs w:val="24"/>
            </w:rPr>
            <w:fldChar w:fldCharType="separate"/>
          </w:r>
          <w:r>
            <w:rPr>
              <w:rFonts w:hint="default"/>
            </w:rPr>
            <w:t>4.3. 风险处置</w:t>
          </w:r>
          <w:r>
            <w:rPr>
              <w:rFonts w:hint="eastAsia"/>
              <w:lang w:val="en-US" w:eastAsia="zh-CN"/>
            </w:rPr>
            <w:t>策略</w:t>
          </w:r>
          <w:r>
            <w:tab/>
          </w:r>
          <w:r>
            <w:fldChar w:fldCharType="begin"/>
          </w:r>
          <w:r>
            <w:instrText xml:space="preserve"> PAGEREF _Toc31837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_Toc13200 </w:instrText>
          </w:r>
          <w:r>
            <w:rPr>
              <w:rFonts w:ascii="宋体" w:eastAsia="宋体" w:hAnsi="宋体" w:cs="宋体" w:hint="eastAsia"/>
              <w:szCs w:val="24"/>
            </w:rPr>
            <w:fldChar w:fldCharType="separate"/>
          </w:r>
          <w:r>
            <w:rPr>
              <w:rFonts w:hint="default"/>
            </w:rPr>
            <w:t>4.4. 安全事件管理</w:t>
          </w:r>
          <w:r>
            <w:tab/>
          </w:r>
          <w:r>
            <w:fldChar w:fldCharType="begin"/>
          </w:r>
          <w:r>
            <w:instrText xml:space="preserve"> PAGEREF _Toc13200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_Toc16109 </w:instrText>
          </w:r>
          <w:r>
            <w:rPr>
              <w:rFonts w:ascii="宋体" w:eastAsia="宋体" w:hAnsi="宋体" w:cs="宋体" w:hint="eastAsia"/>
              <w:szCs w:val="24"/>
            </w:rPr>
            <w:fldChar w:fldCharType="separate"/>
          </w:r>
          <w:r>
            <w:rPr>
              <w:rFonts w:hint="default"/>
            </w:rPr>
            <w:t>4.5. 关键控制点与测量指标</w:t>
          </w:r>
          <w:r>
            <w:tab/>
          </w:r>
          <w:r>
            <w:fldChar w:fldCharType="begin"/>
          </w:r>
          <w:r>
            <w:instrText xml:space="preserve"> PAGEREF _Toc16109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_Toc25063 </w:instrText>
          </w:r>
          <w:r>
            <w:rPr>
              <w:rFonts w:ascii="宋体" w:eastAsia="宋体" w:hAnsi="宋体" w:cs="宋体" w:hint="eastAsia"/>
              <w:szCs w:val="24"/>
            </w:rPr>
            <w:fldChar w:fldCharType="separate"/>
          </w:r>
          <w:r>
            <w:rPr>
              <w:rFonts w:hint="default"/>
            </w:rPr>
            <w:t>4.5.1. 关键控制点</w:t>
          </w:r>
          <w:r>
            <w:tab/>
          </w:r>
          <w:r>
            <w:fldChar w:fldCharType="begin"/>
          </w:r>
          <w:r>
            <w:instrText xml:space="preserve"> PAGEREF _Toc25063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_Toc25079 </w:instrText>
          </w:r>
          <w:r>
            <w:rPr>
              <w:rFonts w:ascii="宋体" w:eastAsia="宋体" w:hAnsi="宋体" w:cs="宋体" w:hint="eastAsia"/>
              <w:szCs w:val="24"/>
            </w:rPr>
            <w:fldChar w:fldCharType="separate"/>
          </w:r>
          <w:r>
            <w:rPr>
              <w:rFonts w:hint="default"/>
            </w:rPr>
            <w:t>4.5.2. 过程测量指标</w:t>
          </w:r>
          <w:r>
            <w:tab/>
          </w:r>
          <w:r>
            <w:fldChar w:fldCharType="begin"/>
          </w:r>
          <w:r>
            <w:instrText xml:space="preserve"> PAGEREF _Toc25079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_Toc15932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_Toc15932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_Toc3525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_Toc3525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_Toc17681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_Toc17681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9910"/>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5018"/>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为规范肇庆市天鹰生物科技有限公司运维服务过程中的信息安全管理，系统性地识别、评估并处置信息安全风险，确保客户及公司信息的机密性、完整性和可用性，构建稳定可靠的服务环境，特制定本制度。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5224"/>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本制度适用于公司运维部及其它所有参与运维服务的部门与人员，管理范围覆盖服务交付过程中涉及的所有信息资产及相关活动。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1311"/>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预防为主原则：采取主动措施识别和消除安全隐患，防患于未然。</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风险导向原则：所有安全决策和措施应基于风险评估的结果。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全员参与原则：每位员工都有责任和义务维护信息安全。</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持续改进原则：定期评审信息安全状况，确保持续有效。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6836"/>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18041"/>
      <w:r>
        <w:rPr>
          <w:rFonts w:hint="eastAsia"/>
          <w:lang w:val="en-US" w:eastAsia="zh-CN"/>
        </w:rPr>
        <w:t>运维部经理</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负责信息安全管理的整体规划、实施与维护。</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领导并组织资产盘点与风险评估工作。</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审批重大安全控制措施与改进计划。</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 w:name="_Toc4975"/>
      <w:r>
        <w:rPr>
          <w:rFonts w:hint="eastAsia"/>
          <w:lang w:val="en-US" w:eastAsia="zh-CN"/>
        </w:rPr>
        <w:t>运维工程师</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执行</w:t>
      </w:r>
      <w:r>
        <w:rPr>
          <w:rFonts w:hint="eastAsia"/>
          <w:lang w:val="en-US" w:eastAsia="zh-CN"/>
        </w:rPr>
        <w:t>运维部经理</w:t>
      </w:r>
      <w:r>
        <w:rPr>
          <w:rFonts w:hint="default"/>
          <w:lang w:val="en-US" w:eastAsia="zh-CN"/>
        </w:rPr>
        <w:t>分派的具体安全任务。</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负责日常安全监控、事件初步处理与记录。</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协助完成安全审计与报告编写。</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2785"/>
      <w:r>
        <w:rPr>
          <w:rFonts w:hint="eastAsia"/>
          <w:lang w:val="en-US" w:eastAsia="zh-CN"/>
        </w:rPr>
        <w:t>引用依据</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1" w:name="_Toc2523"/>
      <w:r>
        <w:rPr>
          <w:rFonts w:hint="eastAsia"/>
          <w:lang w:val="en-US" w:eastAsia="zh-CN"/>
        </w:rPr>
        <w:t>定义与术语</w:t>
      </w:r>
      <w:bookmarkEnd w:id="11"/>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7625"/>
      <w:r>
        <w:rPr>
          <w:rFonts w:hint="eastAsia"/>
        </w:rPr>
        <w:t>信息资产</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任何对组织具有价值的信息及相关载体，如硬件、软件、数据、文档等。</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11513"/>
      <w:r>
        <w:rPr>
          <w:rFonts w:hint="eastAsia"/>
        </w:rPr>
        <w:t>信息安全事件</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导致或可能导致信息的机密性、完整性、可用性遭受破坏的单起或多起事件。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9004"/>
      <w:r>
        <w:rPr>
          <w:rFonts w:hint="eastAsia"/>
        </w:rPr>
        <w:t>风险评估</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识别信息资产的风险、评估风险影响并确定处置优先级的过程。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5" w:name="_Toc1848"/>
      <w:r>
        <w:rPr>
          <w:rFonts w:hint="eastAsia"/>
          <w:lang w:val="en-US" w:eastAsia="zh-CN"/>
        </w:rPr>
        <w:t>管理内容与要求</w:t>
      </w:r>
      <w:bookmarkEnd w:id="15"/>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6" w:name="_Toc12630"/>
      <w:r>
        <w:rPr>
          <w:rFonts w:hint="default"/>
          <w:lang w:val="en-US" w:eastAsia="zh-CN"/>
        </w:rPr>
        <w:t>资产识别与分类</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运维部经理</w:t>
      </w:r>
      <w:r>
        <w:rPr>
          <w:rFonts w:hint="default"/>
          <w:lang w:val="en-US" w:eastAsia="zh-CN"/>
        </w:rPr>
        <w:t>应组织对运维服务相关的所有信息资产进行识别、登记与分类。资产分类应依据《资产分类表》进行，并填写《关键资产风险评估及控制表》，明确资产的责任人、位置、数量等关键属性。</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29097"/>
      <w:r>
        <w:rPr>
          <w:rFonts w:hint="default"/>
          <w:lang w:val="en-US" w:eastAsia="zh-CN"/>
        </w:rPr>
        <w:t>风险识别与评估</w:t>
      </w:r>
      <w:bookmarkEnd w:id="1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8767"/>
      <w:r>
        <w:rPr>
          <w:rFonts w:hint="default"/>
          <w:lang w:val="en-US" w:eastAsia="zh-CN"/>
        </w:rPr>
        <w:t>风险识别</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应参照《机房环境安全管理规范》等系列安全规范，识别各资产面临的安全威胁与自身弱点。变更管理流程中必须充分考虑信息安全风险。</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545"/>
      <w:r>
        <w:rPr>
          <w:rFonts w:hint="default"/>
          <w:lang w:val="en-US" w:eastAsia="zh-CN"/>
        </w:rPr>
        <w:t>风险评估</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采用风险值（Risk Value）进行量化评估。风险值由资产重要度（Asset Criticality）与风险发生概率（Risk Probability）相乘得出。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资产重要度判定表如图4-1所示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资产重要度判定表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9"/>
        <w:gridCol w:w="3552"/>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原值</w:t>
            </w:r>
          </w:p>
        </w:tc>
        <w:tc>
          <w:tcPr>
            <w:tcW w:w="3552"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关联的服务重要度</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等级</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低</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低</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1</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较低</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较低</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2</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中</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中</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3</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较高</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较高</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4</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高</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高</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5</w:t>
            </w:r>
          </w:p>
        </w:tc>
      </w:tr>
    </w:tbl>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风险发生概率判定表如图4-2所示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风险发生概率判定表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75"/>
        <w:gridCol w:w="564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发生可能性范围</w:t>
            </w:r>
          </w:p>
        </w:tc>
        <w:tc>
          <w:tcPr>
            <w:tcW w:w="5647"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等级</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1%~20%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1</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21%~40%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41%~60%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3</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61%~80%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4</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81%~100%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5</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t>风险等级</w:t>
      </w:r>
      <w:r>
        <w:rPr>
          <w:rFonts w:hint="default"/>
        </w:rPr>
        <w:t>：计算风险值（1-25），并依据公司设定的可接受风险水平（阈值）确定风险等级。</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0" w:name="_Toc31837"/>
      <w:r>
        <w:rPr>
          <w:rFonts w:hint="default"/>
        </w:rPr>
        <w:t>风险处置</w:t>
      </w:r>
      <w:r>
        <w:rPr>
          <w:rFonts w:hint="eastAsia"/>
          <w:lang w:val="en-US" w:eastAsia="zh-CN"/>
        </w:rPr>
        <w:t>策略</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对于超过可接受水平的风险，应采取以下一种或多种方式进行处置：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实施控制措施：采用适当的技术或管理措施降低风险。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风险接受：在符合组织政策的前提下，明确接受该风险。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风险规避：通过取消相关活动来避免风险。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风险转移：通过保险或第三方服务转移风险。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处置后需重新评估，确保风险已降至可接受水平。</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1" w:name="_Toc13200"/>
      <w:r>
        <w:rPr>
          <w:rFonts w:hint="default"/>
        </w:rPr>
        <w:t>安全事件管理</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所有信息安全事件必须通过事件管理流程进行记录、处理和跟踪。信</w:t>
      </w:r>
      <w:r>
        <w:rPr>
          <w:rFonts w:hint="eastAsia"/>
          <w:lang w:val="en-US" w:eastAsia="zh-CN"/>
        </w:rPr>
        <w:t>运维部经理</w:t>
      </w:r>
      <w:r>
        <w:rPr>
          <w:rFonts w:hint="default"/>
        </w:rPr>
        <w:t>应定期分析事件数据，编制《信息安全事件统计表》，并据此提出改进措施。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2" w:name="_Toc16109"/>
      <w:r>
        <w:rPr>
          <w:rFonts w:hint="default"/>
        </w:rPr>
        <w:t>关键控制点与测量指标</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为确保信息安全管理流程的有效执行和持续改进，特设定以下关键控制点与量化测量指标。</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3" w:name="_Toc25063"/>
      <w:r>
        <w:rPr>
          <w:rFonts w:hint="default"/>
        </w:rPr>
        <w:t>关键控制点</w:t>
      </w:r>
      <w:bookmarkEnd w:id="23"/>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所有关键信息资产必须被识别、登记并定期审核。</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所有变更必须经过信息安全风险评估。</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所有信息安全事件必须被记录、分析并用于持续改进。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4" w:name="_Toc25079"/>
      <w:r>
        <w:rPr>
          <w:rFonts w:hint="default"/>
        </w:rPr>
        <w:t>过程测量指标</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信息安全管理考核标准如表4-2所示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705"/>
        <w:gridCol w:w="3771"/>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705"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77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705" w:type="dxa"/>
          </w:tcPr>
          <w:p>
            <w:pPr>
              <w:pStyle w:val="a1"/>
              <w:keepNext w:val="0"/>
              <w:keepLines w:val="0"/>
              <w:pageBreakBefore w:val="0"/>
              <w:widowControl w:val="0"/>
              <w:kinsoku w:val="0"/>
              <w:wordWrap/>
              <w:overflowPunct/>
              <w:autoSpaceDE w:val="0"/>
              <w:autoSpaceDN w:val="0"/>
              <w:bidi w:val="0"/>
              <w:adjustRightInd w:val="0"/>
              <w:snapToGrid w:val="0"/>
              <w:ind w:left="0" w:firstLine="0" w:leftChars="0" w:firstLineChars="0"/>
              <w:jc w:val="left"/>
              <w:textAlignment w:val="baseline"/>
              <w:rPr>
                <w:rFonts w:eastAsia="宋体" w:hint="default"/>
                <w:sz w:val="21"/>
                <w:szCs w:val="21"/>
                <w:vertAlign w:val="baseline"/>
                <w:lang w:val="en-US" w:eastAsia="zh-CN"/>
              </w:rPr>
            </w:pPr>
            <w:r>
              <w:rPr>
                <w:rFonts w:hint="eastAsia"/>
                <w:sz w:val="21"/>
                <w:szCs w:val="21"/>
                <w:vertAlign w:val="baseline"/>
                <w:lang w:val="en-US" w:eastAsia="zh-CN"/>
              </w:rPr>
              <w:t>信息泄露次数</w:t>
            </w:r>
          </w:p>
        </w:tc>
        <w:tc>
          <w:tcPr>
            <w:tcW w:w="3771" w:type="dxa"/>
          </w:tcPr>
          <w:p>
            <w:pPr>
              <w:pStyle w:val="a1"/>
              <w:keepNext w:val="0"/>
              <w:keepLines w:val="0"/>
              <w:pageBreakBefore w:val="0"/>
              <w:widowControl w:val="0"/>
              <w:kinsoku w:val="0"/>
              <w:wordWrap/>
              <w:overflowPunct/>
              <w:autoSpaceDE w:val="0"/>
              <w:autoSpaceDN w:val="0"/>
              <w:bidi w:val="0"/>
              <w:adjustRightInd w:val="0"/>
              <w:snapToGrid w:val="0"/>
              <w:ind w:left="0" w:firstLine="0" w:leftChars="0" w:firstLineChars="0"/>
              <w:jc w:val="left"/>
              <w:textAlignment w:val="baseline"/>
              <w:rPr>
                <w:rFonts w:eastAsia="宋体" w:hint="default"/>
                <w:sz w:val="21"/>
                <w:szCs w:val="21"/>
                <w:vertAlign w:val="baseline"/>
                <w:lang w:val="en-US" w:eastAsia="zh-CN"/>
              </w:rPr>
            </w:pPr>
            <w:r>
              <w:rPr>
                <w:rFonts w:ascii="Segoe UI" w:eastAsia="宋体" w:hAnsi="Segoe UI" w:cs="Segoe UI" w:hint="eastAsia"/>
                <w:i w:val="0"/>
                <w:iCs w:val="0"/>
                <w:caps w:val="0"/>
                <w:color w:val="0F1115"/>
                <w:spacing w:val="0"/>
                <w:sz w:val="19"/>
                <w:szCs w:val="19"/>
                <w:shd w:val="clear" w:color="auto" w:fill="FFFFFF"/>
                <w:lang w:val="en-US" w:eastAsia="zh-CN"/>
              </w:rPr>
              <w:t>客户信息泄露的事件次数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5" w:name="bookmark3"/>
      <w:bookmarkEnd w:id="25"/>
      <w:bookmarkStart w:id="26" w:name="_Toc17424"/>
      <w:bookmarkStart w:id="27" w:name="_Toc15932"/>
      <w:r>
        <w:rPr>
          <w:rStyle w:val="1Char"/>
          <w:rFonts w:eastAsia="宋体" w:hint="eastAsia"/>
          <w:lang w:val="en-US" w:eastAsia="zh-CN"/>
        </w:rPr>
        <w:t>附则</w:t>
      </w:r>
      <w:bookmarkEnd w:id="26"/>
      <w:bookmarkEnd w:id="27"/>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bookmark14"/>
      <w:bookmarkEnd w:id="28"/>
      <w:bookmarkStart w:id="29" w:name="_Toc3525"/>
      <w:r>
        <w:rPr>
          <w:rFonts w:hint="eastAsia"/>
          <w:lang w:val="en-US" w:eastAsia="zh-CN"/>
        </w:rPr>
        <w:t>附件</w:t>
      </w:r>
      <w:bookmarkEnd w:id="29"/>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《资产分类表》</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《关键资产风险评估及控制表》</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《信息安全事件统计表》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17681"/>
      <w:r>
        <w:rPr>
          <w:rFonts w:hint="eastAsia"/>
          <w:lang w:val="en-US" w:eastAsia="zh-CN"/>
        </w:rPr>
        <w:t>记录</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信息安全管理制度运行过程中产生的所有记录，包括但不限于风险评估表、事件统计表、审计报告等，应由运维部统一保存，保存期限不少于3年。</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6F270B8"/>
    <w:multiLevelType w:val="singleLevel"/>
    <w:tmpl w:val="A6F270B8"/>
    <w:lvl w:ilvl="0">
      <w:start w:val="1"/>
      <w:numFmt w:val="decimal"/>
      <w:lvlText w:val="%1."/>
      <w:lvlJc w:val="left"/>
      <w:pPr>
        <w:ind w:left="425" w:hanging="425"/>
      </w:pPr>
      <w:rPr>
        <w:rFonts w:hint="default"/>
      </w:rPr>
    </w:lvl>
  </w:abstractNum>
  <w:abstractNum w:abstractNumId="2">
    <w:nsid w:val="BE59BEF0"/>
    <w:multiLevelType w:val="singleLevel"/>
    <w:tmpl w:val="BE59BEF0"/>
    <w:lvl w:ilvl="0">
      <w:start w:val="1"/>
      <w:numFmt w:val="decimal"/>
      <w:lvlText w:val="%1."/>
      <w:lvlJc w:val="left"/>
      <w:pPr>
        <w:ind w:left="425" w:hanging="425"/>
      </w:pPr>
      <w:rPr>
        <w:rFonts w:hint="default"/>
      </w:rPr>
    </w:lvl>
  </w:abstractNum>
  <w:abstractNum w:abstractNumId="3">
    <w:nsid w:val="D4C2FEC3"/>
    <w:multiLevelType w:val="singleLevel"/>
    <w:tmpl w:val="D4C2FEC3"/>
    <w:lvl w:ilvl="0">
      <w:start w:val="1"/>
      <w:numFmt w:val="decimal"/>
      <w:lvlText w:val="%1."/>
      <w:lvlJc w:val="left"/>
      <w:pPr>
        <w:ind w:left="425" w:hanging="425"/>
      </w:pPr>
      <w:rPr>
        <w:rFonts w:hint="default"/>
      </w:rPr>
    </w:lvl>
  </w:abstractNum>
  <w:abstractNum w:abstractNumId="4">
    <w:nsid w:val="EA0F4E69"/>
    <w:multiLevelType w:val="singleLevel"/>
    <w:tmpl w:val="EA0F4E69"/>
    <w:lvl w:ilvl="0">
      <w:start w:val="1"/>
      <w:numFmt w:val="decimal"/>
      <w:lvlText w:val="%1."/>
      <w:lvlJc w:val="left"/>
      <w:pPr>
        <w:ind w:left="425" w:hanging="425"/>
      </w:pPr>
      <w:rPr>
        <w:rFonts w:hint="default"/>
      </w:rPr>
    </w:lvl>
  </w:abstractNum>
  <w:abstractNum w:abstractNumId="5">
    <w:nsid w:val="F67A92D8"/>
    <w:multiLevelType w:val="singleLevel"/>
    <w:tmpl w:val="F67A92D8"/>
    <w:lvl w:ilvl="0">
      <w:start w:val="1"/>
      <w:numFmt w:val="decimal"/>
      <w:lvlText w:val="%1."/>
      <w:lvlJc w:val="left"/>
      <w:pPr>
        <w:ind w:left="425" w:hanging="425"/>
      </w:pPr>
      <w:rPr>
        <w:rFonts w:hint="default"/>
      </w:rPr>
    </w:lvl>
  </w:abstractNum>
  <w:abstractNum w:abstractNumId="6">
    <w:nsid w:val="F9539CF3"/>
    <w:multiLevelType w:val="singleLevel"/>
    <w:tmpl w:val="F9539CF3"/>
    <w:lvl w:ilvl="0">
      <w:start w:val="1"/>
      <w:numFmt w:val="decimal"/>
      <w:lvlText w:val="%1."/>
      <w:lvlJc w:val="left"/>
      <w:pPr>
        <w:ind w:left="425" w:hanging="425"/>
      </w:pPr>
      <w:rPr>
        <w:rFonts w:hint="default"/>
      </w:rPr>
    </w:lvl>
  </w:abstractNum>
  <w:abstractNum w:abstractNumId="7">
    <w:nsid w:val="2347B199"/>
    <w:multiLevelType w:val="singleLevel"/>
    <w:tmpl w:val="2347B199"/>
    <w:lvl w:ilvl="0">
      <w:start w:val="1"/>
      <w:numFmt w:val="decimal"/>
      <w:lvlText w:val="%1."/>
      <w:lvlJc w:val="left"/>
      <w:pPr>
        <w:ind w:left="425" w:hanging="425"/>
      </w:pPr>
      <w:rPr>
        <w:rFonts w:hint="default"/>
      </w:rPr>
    </w:lvl>
  </w:abstractNum>
  <w:num w:numId="1">
    <w:abstractNumId w:val="0"/>
  </w:num>
  <w:num w:numId="2">
    <w:abstractNumId w:val="7"/>
  </w:num>
  <w:num w:numId="3">
    <w:abstractNumId w:val="3"/>
  </w:num>
  <w:num w:numId="4">
    <w:abstractNumId w:val="1"/>
  </w:num>
  <w:num w:numId="5">
    <w:abstractNumId w:val="2"/>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1801</Words>
  <Characters>2061</Characters>
  <Application>Microsoft Office Word</Application>
  <DocSecurity>0</DocSecurity>
  <Lines>0</Lines>
  <Paragraphs>0</Paragraphs>
  <ScaleCrop>false</ScaleCrop>
  <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