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5695"/>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5357"/>
      <w:r>
        <w:rPr>
          <w:rFonts w:hint="eastAsia"/>
          <w:lang w:val="en-US" w:eastAsia="zh-CN"/>
        </w:rPr>
        <w:t>西安国豪生物科技有限公司生物工程技术研发试验分析系统运维服务项目-过程量化指标</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TYSW</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12</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2025.02.22</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2025.02.22</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吴智锋</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2025.02.22</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w:t>
            </w:r>
            <w:r>
              <w:rPr>
                <w:rFonts w:ascii="宋体" w:hAnsi="宋体" w:cs="宋体" w:hint="eastAsia"/>
                <w:spacing w:val="3"/>
                <w:position w:val="1"/>
                <w:sz w:val="20"/>
                <w:szCs w:val="20"/>
                <w:lang w:val="en-US" w:eastAsia="zh-CN"/>
              </w:rPr>
              <w:t>2</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22</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吴智锋</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bookmarkStart w:id="2" w:name="_GoBack"/>
          <w:bookmarkEnd w:id="2"/>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_Toc15695 </w:instrText>
          </w:r>
          <w:r>
            <w:rPr>
              <w:rFonts w:ascii="宋体" w:eastAsia="宋体" w:hAnsi="宋体" w:cs="宋体" w:hint="eastAsia"/>
              <w:szCs w:val="24"/>
            </w:rPr>
            <w:fldChar w:fldCharType="separate"/>
          </w:r>
          <w:r>
            <w:rPr>
              <w:rFonts w:hint="eastAsia"/>
              <w:lang w:val="en-US" w:eastAsia="zh-CN"/>
            </w:rPr>
            <w:t>肇庆市天鹰生物科技有限公司</w:t>
          </w:r>
          <w:r>
            <w:tab/>
          </w:r>
          <w:r>
            <w:fldChar w:fldCharType="begin"/>
          </w:r>
          <w:r>
            <w:instrText xml:space="preserve"> PAGEREF _Toc15695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_Toc5357 </w:instrText>
          </w:r>
          <w:r>
            <w:rPr>
              <w:rFonts w:ascii="宋体" w:eastAsia="宋体" w:hAnsi="宋体" w:cs="宋体" w:hint="eastAsia"/>
              <w:szCs w:val="24"/>
            </w:rPr>
            <w:fldChar w:fldCharType="separate"/>
          </w:r>
          <w:r>
            <w:rPr>
              <w:rFonts w:hint="eastAsia"/>
              <w:lang w:val="en-US" w:eastAsia="zh-CN"/>
            </w:rPr>
            <w:t>西安国豪生物科技有限公司生物工程技术研发试验分析系统运维服务项目-过程量化指标</w:t>
          </w:r>
          <w:r>
            <w:tab/>
          </w:r>
          <w:r>
            <w:fldChar w:fldCharType="begin"/>
          </w:r>
          <w:r>
            <w:instrText xml:space="preserve"> PAGEREF _Toc5357 \h </w:instrText>
          </w:r>
          <w:r>
            <w:fldChar w:fldCharType="separate"/>
          </w:r>
          <w:r>
            <w:t>1</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sectPr>
          <w:headerReference w:type="default" r:id="rId6"/>
          <w:pgSz w:w="11906" w:h="16838"/>
          <w:pgMar w:top="1417" w:right="1800" w:bottom="1440" w:left="1800" w:header="1140" w:footer="992" w:gutter="0"/>
          <w:cols w:num="1" w:space="425"/>
          <w:docGrid w:type="lines" w:linePitch="312" w:charSpace="0"/>
        </w:sectPr>
      </w:pPr>
      <w:r>
        <w:rPr>
          <w:rFonts w:ascii="Arial" w:eastAsia="Arial" w:hAnsi="Arial" w:cs="Arial"/>
          <w:snapToGrid w:val="0"/>
          <w:color w:val="000000"/>
          <w:kern w:val="0"/>
          <w:sz w:val="21"/>
          <w:szCs w:val="21"/>
          <w:lang w:val="en-US" w:eastAsia="en-US" w:bidi="ar-SA"/>
        </w:rPr>
        <w:br w:type="page"/>
      </w:r>
    </w:p>
    <w:p>
      <w:pPr>
        <w:pStyle w:val="a1"/>
        <w:bidi w:val="0"/>
        <w:ind w:left="0" w:right="0" w:firstLine="0" w:leftChars="0" w:rightChars="0" w:firstLineChars="0"/>
        <w:jc w:val="center"/>
        <w:rPr>
          <w:rFonts w:hint="eastAsia"/>
          <w:b/>
          <w:bCs/>
          <w:lang w:val="en-US" w:eastAsia="zh-CN"/>
        </w:rPr>
      </w:pPr>
      <w:r>
        <w:rPr>
          <w:rFonts w:hint="eastAsia"/>
          <w:b/>
          <w:bCs/>
          <w:lang w:val="en-US" w:eastAsia="zh-CN"/>
        </w:rPr>
        <w:t>西安国豪生物科技有限公司生物工程技术研发试验分析系统运维服务项目-过程量化指标</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42"/>
        <w:gridCol w:w="1142"/>
        <w:gridCol w:w="1698"/>
        <w:gridCol w:w="1420"/>
        <w:gridCol w:w="1420"/>
        <w:gridCol w:w="1421"/>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142" w:type="dxa"/>
            <w:vAlign w:val="center"/>
          </w:tcPr>
          <w:p>
            <w:pPr>
              <w:pStyle w:val="a1"/>
              <w:widowControl w:val="0"/>
              <w:ind w:left="0" w:right="0" w:firstLine="0" w:leftChars="0" w:rightChars="0" w:firstLineChars="0"/>
              <w:jc w:val="both"/>
              <w:rPr>
                <w:rFonts w:ascii="宋体" w:eastAsia="宋体" w:hAnsi="宋体" w:cs="宋体" w:hint="default"/>
                <w:sz w:val="15"/>
                <w:szCs w:val="15"/>
                <w:vertAlign w:val="baseline"/>
                <w:lang w:val="en-US" w:eastAsia="zh-CN"/>
              </w:rPr>
            </w:pPr>
            <w:r>
              <w:rPr>
                <w:rFonts w:ascii="宋体" w:eastAsia="宋体" w:hAnsi="宋体" w:cs="宋体" w:hint="eastAsia"/>
                <w:sz w:val="15"/>
                <w:szCs w:val="15"/>
                <w:vertAlign w:val="baseline"/>
                <w:lang w:val="en-US" w:eastAsia="zh-CN"/>
              </w:rPr>
              <w:t>编号</w:t>
            </w:r>
          </w:p>
        </w:tc>
        <w:tc>
          <w:tcPr>
            <w:tcW w:w="1142" w:type="dxa"/>
            <w:vAlign w:val="center"/>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指标类别</w:t>
            </w:r>
          </w:p>
        </w:tc>
        <w:tc>
          <w:tcPr>
            <w:tcW w:w="1698" w:type="dxa"/>
            <w:vAlign w:val="center"/>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指标度量项</w:t>
            </w:r>
          </w:p>
        </w:tc>
        <w:tc>
          <w:tcPr>
            <w:tcW w:w="1420" w:type="dxa"/>
            <w:vAlign w:val="center"/>
          </w:tcPr>
          <w:p>
            <w:pPr>
              <w:pStyle w:val="a1"/>
              <w:widowControl w:val="0"/>
              <w:ind w:left="0" w:right="0" w:firstLine="0" w:leftChars="0" w:rightChars="0" w:firstLineChars="0"/>
              <w:jc w:val="both"/>
              <w:rPr>
                <w:rFonts w:ascii="宋体" w:eastAsia="宋体" w:hAnsi="宋体" w:cs="宋体" w:hint="default"/>
                <w:sz w:val="15"/>
                <w:szCs w:val="15"/>
                <w:vertAlign w:val="baseline"/>
                <w:lang w:val="en-US" w:eastAsia="zh-CN"/>
              </w:rPr>
            </w:pPr>
            <w:r>
              <w:rPr>
                <w:rFonts w:ascii="宋体" w:eastAsia="宋体" w:hAnsi="宋体" w:cs="宋体" w:hint="eastAsia"/>
                <w:sz w:val="15"/>
                <w:szCs w:val="15"/>
                <w:vertAlign w:val="baseline"/>
                <w:lang w:val="en-US" w:eastAsia="zh-CN"/>
              </w:rPr>
              <w:t>指标</w:t>
            </w:r>
            <w:r>
              <w:rPr>
                <w:rFonts w:ascii="宋体" w:hAnsi="宋体" w:cs="宋体" w:hint="eastAsia"/>
                <w:sz w:val="15"/>
                <w:szCs w:val="15"/>
                <w:vertAlign w:val="baseline"/>
                <w:lang w:val="en-US" w:eastAsia="zh-CN"/>
              </w:rPr>
              <w:t>方式</w:t>
            </w:r>
          </w:p>
        </w:tc>
        <w:tc>
          <w:tcPr>
            <w:tcW w:w="1420" w:type="dxa"/>
            <w:vAlign w:val="center"/>
          </w:tcPr>
          <w:p>
            <w:pPr>
              <w:pStyle w:val="a1"/>
              <w:widowControl w:val="0"/>
              <w:ind w:left="0" w:right="0" w:firstLine="0" w:leftChars="0" w:rightChars="0" w:firstLineChars="0"/>
              <w:jc w:val="both"/>
              <w:rPr>
                <w:rFonts w:ascii="宋体" w:eastAsia="宋体" w:hAnsi="宋体" w:cs="宋体" w:hint="default"/>
                <w:sz w:val="15"/>
                <w:szCs w:val="15"/>
                <w:vertAlign w:val="baseline"/>
                <w:lang w:val="en-US" w:eastAsia="zh-CN"/>
              </w:rPr>
            </w:pPr>
            <w:r>
              <w:rPr>
                <w:rFonts w:ascii="宋体" w:hAnsi="宋体" w:cs="宋体" w:hint="eastAsia"/>
                <w:sz w:val="15"/>
                <w:szCs w:val="15"/>
                <w:vertAlign w:val="baseline"/>
                <w:lang w:val="en-US" w:eastAsia="zh-CN"/>
              </w:rPr>
              <w:t>频次</w:t>
            </w:r>
          </w:p>
        </w:tc>
        <w:tc>
          <w:tcPr>
            <w:tcW w:w="1421" w:type="dxa"/>
            <w:vAlign w:val="center"/>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hAnsi="宋体" w:cs="宋体" w:hint="eastAsia"/>
                <w:sz w:val="15"/>
                <w:szCs w:val="15"/>
                <w:vertAlign w:val="baseline"/>
                <w:lang w:val="en-US" w:eastAsia="zh-CN"/>
              </w:rPr>
              <w:t>目标值</w:t>
            </w:r>
          </w:p>
        </w:tc>
      </w:tr>
      <w:tr>
        <w:tblPrEx>
          <w:tblW w:w="0" w:type="auto"/>
          <w:jc w:val="center"/>
          <w:tblCellMar>
            <w:top w:w="0" w:type="dxa"/>
            <w:left w:w="108" w:type="dxa"/>
            <w:bottom w:w="0" w:type="dxa"/>
            <w:right w:w="108" w:type="dxa"/>
          </w:tblCellMar>
        </w:tblPrEx>
        <w:trPr>
          <w:jc w:val="center"/>
        </w:trPr>
        <w:tc>
          <w:tcPr>
            <w:tcW w:w="1142" w:type="dxa"/>
            <w:vAlign w:val="center"/>
          </w:tcPr>
          <w:p>
            <w:pPr>
              <w:pStyle w:val="a1"/>
              <w:widowControl w:val="0"/>
              <w:numPr>
                <w:ilvl w:val="0"/>
                <w:numId w:val="2"/>
              </w:numPr>
              <w:ind w:left="0" w:right="0" w:firstLine="0" w:leftChars="0" w:rightChars="0" w:firstLineChars="0"/>
              <w:jc w:val="center"/>
              <w:rPr>
                <w:rFonts w:ascii="宋体" w:eastAsia="宋体" w:hAnsi="宋体" w:cs="宋体" w:hint="default"/>
                <w:sz w:val="15"/>
                <w:szCs w:val="15"/>
                <w:vertAlign w:val="baseline"/>
                <w:lang w:val="en-US" w:eastAsia="zh-CN"/>
              </w:rPr>
            </w:pPr>
          </w:p>
        </w:tc>
        <w:tc>
          <w:tcPr>
            <w:tcW w:w="1142" w:type="dxa"/>
            <w:vAlign w:val="center"/>
          </w:tcPr>
          <w:p>
            <w:pPr>
              <w:pStyle w:val="a1"/>
              <w:widowControl w:val="0"/>
              <w:ind w:left="0" w:right="0" w:firstLine="0" w:leftChars="0" w:rightChars="0" w:firstLineChars="0"/>
              <w:jc w:val="both"/>
              <w:rPr>
                <w:rFonts w:ascii="宋体" w:eastAsia="宋体" w:hAnsi="宋体" w:cs="宋体" w:hint="default"/>
                <w:sz w:val="15"/>
                <w:szCs w:val="15"/>
                <w:vertAlign w:val="baseline"/>
                <w:lang w:val="en-US" w:eastAsia="zh-CN"/>
              </w:rPr>
            </w:pPr>
            <w:r>
              <w:rPr>
                <w:rFonts w:ascii="宋体" w:eastAsia="宋体" w:hAnsi="宋体" w:cs="宋体" w:hint="eastAsia"/>
                <w:sz w:val="15"/>
                <w:szCs w:val="15"/>
                <w:vertAlign w:val="baseline"/>
                <w:lang w:val="en-US" w:eastAsia="zh-CN"/>
              </w:rPr>
              <w:t>过程框架设计</w:t>
            </w:r>
          </w:p>
        </w:tc>
        <w:tc>
          <w:tcPr>
            <w:tcW w:w="1698"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自评估次数</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数量，每年对过程框架进行分析的次数</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年度</w:t>
            </w:r>
          </w:p>
        </w:tc>
        <w:tc>
          <w:tcPr>
            <w:tcW w:w="1421"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≥1</w:t>
            </w:r>
          </w:p>
        </w:tc>
      </w:tr>
      <w:tr>
        <w:tblPrEx>
          <w:tblW w:w="0" w:type="auto"/>
          <w:jc w:val="center"/>
          <w:tblCellMar>
            <w:top w:w="0" w:type="dxa"/>
            <w:left w:w="108" w:type="dxa"/>
            <w:bottom w:w="0" w:type="dxa"/>
            <w:right w:w="108" w:type="dxa"/>
          </w:tblCellMar>
        </w:tblPrEx>
        <w:trPr>
          <w:jc w:val="center"/>
        </w:trPr>
        <w:tc>
          <w:tcPr>
            <w:tcW w:w="1142" w:type="dxa"/>
            <w:vAlign w:val="center"/>
          </w:tcPr>
          <w:p>
            <w:pPr>
              <w:pStyle w:val="a1"/>
              <w:widowControl w:val="0"/>
              <w:numPr>
                <w:ilvl w:val="0"/>
                <w:numId w:val="2"/>
              </w:numPr>
              <w:ind w:left="0" w:right="0" w:firstLine="0" w:leftChars="0" w:rightChars="0" w:firstLineChars="0"/>
              <w:jc w:val="center"/>
              <w:rPr>
                <w:rFonts w:ascii="宋体" w:eastAsia="宋体" w:hAnsi="宋体" w:cs="宋体" w:hint="default"/>
                <w:sz w:val="15"/>
                <w:szCs w:val="15"/>
                <w:vertAlign w:val="baseline"/>
                <w:lang w:val="en-US" w:eastAsia="zh-CN"/>
              </w:rPr>
            </w:pPr>
          </w:p>
        </w:tc>
        <w:tc>
          <w:tcPr>
            <w:tcW w:w="1142" w:type="dxa"/>
            <w:vAlign w:val="center"/>
          </w:tcPr>
          <w:p>
            <w:pPr>
              <w:pStyle w:val="a1"/>
              <w:widowControl w:val="0"/>
              <w:ind w:left="0" w:right="0" w:firstLine="0" w:leftChars="0" w:rightChars="0" w:firstLineChars="0"/>
              <w:jc w:val="both"/>
              <w:rPr>
                <w:rFonts w:ascii="宋体" w:eastAsia="宋体" w:hAnsi="宋体" w:cs="宋体" w:hint="default"/>
                <w:sz w:val="15"/>
                <w:szCs w:val="15"/>
                <w:vertAlign w:val="baseline"/>
                <w:lang w:val="en-US" w:eastAsia="zh-CN"/>
              </w:rPr>
            </w:pPr>
            <w:r>
              <w:rPr>
                <w:rFonts w:ascii="宋体" w:eastAsia="宋体" w:hAnsi="宋体" w:cs="宋体" w:hint="eastAsia"/>
                <w:sz w:val="15"/>
                <w:szCs w:val="15"/>
                <w:vertAlign w:val="baseline"/>
                <w:lang w:val="en-US" w:eastAsia="zh-CN"/>
              </w:rPr>
              <w:t>服务级别管理</w:t>
            </w:r>
          </w:p>
        </w:tc>
        <w:tc>
          <w:tcPr>
            <w:tcW w:w="1698"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SLA达成率</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(满足服务级别的事件数/事件总数)*100%</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季度</w:t>
            </w:r>
          </w:p>
        </w:tc>
        <w:tc>
          <w:tcPr>
            <w:tcW w:w="1421"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95%</w:t>
            </w:r>
          </w:p>
        </w:tc>
      </w:tr>
      <w:tr>
        <w:tblPrEx>
          <w:tblW w:w="0" w:type="auto"/>
          <w:jc w:val="center"/>
          <w:tblCellMar>
            <w:top w:w="0" w:type="dxa"/>
            <w:left w:w="108" w:type="dxa"/>
            <w:bottom w:w="0" w:type="dxa"/>
            <w:right w:w="108" w:type="dxa"/>
          </w:tblCellMar>
        </w:tblPrEx>
        <w:trPr>
          <w:jc w:val="center"/>
        </w:trPr>
        <w:tc>
          <w:tcPr>
            <w:tcW w:w="1142" w:type="dxa"/>
            <w:vAlign w:val="center"/>
          </w:tcPr>
          <w:p>
            <w:pPr>
              <w:pStyle w:val="a1"/>
              <w:widowControl w:val="0"/>
              <w:numPr>
                <w:ilvl w:val="0"/>
                <w:numId w:val="2"/>
              </w:numPr>
              <w:ind w:left="0" w:right="0" w:firstLine="0" w:leftChars="0" w:rightChars="0" w:firstLineChars="0"/>
              <w:jc w:val="center"/>
              <w:rPr>
                <w:rFonts w:ascii="宋体" w:eastAsia="宋体" w:hAnsi="宋体" w:cs="宋体" w:hint="eastAsia"/>
                <w:sz w:val="15"/>
                <w:szCs w:val="15"/>
                <w:vertAlign w:val="baseline"/>
                <w:lang w:val="en-US" w:eastAsia="zh-CN"/>
              </w:rPr>
            </w:pPr>
          </w:p>
        </w:tc>
        <w:tc>
          <w:tcPr>
            <w:tcW w:w="1142" w:type="dxa"/>
            <w:vAlign w:val="center"/>
          </w:tcPr>
          <w:p>
            <w:pPr>
              <w:pStyle w:val="a1"/>
              <w:widowControl w:val="0"/>
              <w:ind w:left="0" w:right="0" w:firstLine="0" w:leftChars="0" w:rightChars="0" w:firstLineChars="0"/>
              <w:jc w:val="both"/>
              <w:rPr>
                <w:rFonts w:ascii="宋体" w:eastAsia="宋体" w:hAnsi="宋体" w:cs="宋体" w:hint="default"/>
                <w:sz w:val="15"/>
                <w:szCs w:val="15"/>
                <w:vertAlign w:val="baseline"/>
                <w:lang w:val="en-US" w:eastAsia="zh-CN"/>
              </w:rPr>
            </w:pPr>
            <w:r>
              <w:rPr>
                <w:rFonts w:ascii="宋体" w:eastAsia="宋体" w:hAnsi="宋体" w:cs="宋体" w:hint="eastAsia"/>
                <w:sz w:val="15"/>
                <w:szCs w:val="15"/>
                <w:vertAlign w:val="baseline"/>
                <w:lang w:val="en-US" w:eastAsia="zh-CN"/>
              </w:rPr>
              <w:t>服务报告管理</w:t>
            </w:r>
          </w:p>
        </w:tc>
        <w:tc>
          <w:tcPr>
            <w:tcW w:w="1698"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服务报告提交及时率</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按时提交的服务报告数量/应提交的服务报告总数)×100%</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季度</w:t>
            </w:r>
          </w:p>
        </w:tc>
        <w:tc>
          <w:tcPr>
            <w:tcW w:w="1421"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≥95%</w:t>
            </w:r>
          </w:p>
        </w:tc>
      </w:tr>
      <w:tr>
        <w:tblPrEx>
          <w:tblW w:w="0" w:type="auto"/>
          <w:jc w:val="center"/>
          <w:tblCellMar>
            <w:top w:w="0" w:type="dxa"/>
            <w:left w:w="108" w:type="dxa"/>
            <w:bottom w:w="0" w:type="dxa"/>
            <w:right w:w="108" w:type="dxa"/>
          </w:tblCellMar>
        </w:tblPrEx>
        <w:trPr>
          <w:jc w:val="center"/>
        </w:trPr>
        <w:tc>
          <w:tcPr>
            <w:tcW w:w="1142" w:type="dxa"/>
            <w:vMerge w:val="restart"/>
            <w:vAlign w:val="center"/>
          </w:tcPr>
          <w:p>
            <w:pPr>
              <w:pStyle w:val="a1"/>
              <w:widowControl w:val="0"/>
              <w:numPr>
                <w:ilvl w:val="0"/>
                <w:numId w:val="2"/>
              </w:numPr>
              <w:ind w:left="0" w:right="0" w:firstLine="0" w:leftChars="0" w:rightChars="0" w:firstLineChars="0"/>
              <w:jc w:val="center"/>
              <w:rPr>
                <w:rFonts w:ascii="宋体" w:eastAsia="宋体" w:hAnsi="宋体" w:cs="宋体" w:hint="eastAsia"/>
                <w:sz w:val="15"/>
                <w:szCs w:val="15"/>
                <w:vertAlign w:val="baseline"/>
                <w:lang w:val="en-US" w:eastAsia="zh-CN"/>
              </w:rPr>
            </w:pPr>
          </w:p>
        </w:tc>
        <w:tc>
          <w:tcPr>
            <w:tcW w:w="1142" w:type="dxa"/>
            <w:vMerge w:val="restart"/>
            <w:vAlign w:val="center"/>
          </w:tcPr>
          <w:p>
            <w:pPr>
              <w:pStyle w:val="a1"/>
              <w:widowControl w:val="0"/>
              <w:ind w:left="0" w:right="0" w:firstLine="0" w:leftChars="0" w:rightChars="0" w:firstLineChars="0"/>
              <w:jc w:val="both"/>
              <w:rPr>
                <w:rFonts w:ascii="宋体" w:eastAsia="宋体" w:hAnsi="宋体" w:cs="宋体" w:hint="default"/>
                <w:sz w:val="15"/>
                <w:szCs w:val="15"/>
                <w:vertAlign w:val="baseline"/>
                <w:lang w:val="en-US" w:eastAsia="zh-CN"/>
              </w:rPr>
            </w:pPr>
            <w:r>
              <w:rPr>
                <w:rFonts w:ascii="宋体" w:eastAsia="宋体" w:hAnsi="宋体" w:cs="宋体" w:hint="eastAsia"/>
                <w:sz w:val="15"/>
                <w:szCs w:val="15"/>
                <w:vertAlign w:val="baseline"/>
                <w:lang w:val="en-US" w:eastAsia="zh-CN"/>
              </w:rPr>
              <w:t>事件管理</w:t>
            </w:r>
          </w:p>
        </w:tc>
        <w:tc>
          <w:tcPr>
            <w:tcW w:w="1698"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事件响应及时率</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(规定时间内响应的事件数/事件总数)×100%</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月度</w:t>
            </w:r>
          </w:p>
        </w:tc>
        <w:tc>
          <w:tcPr>
            <w:tcW w:w="1421"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≥95%</w:t>
            </w:r>
          </w:p>
        </w:tc>
      </w:tr>
      <w:tr>
        <w:tblPrEx>
          <w:tblW w:w="0" w:type="auto"/>
          <w:jc w:val="center"/>
          <w:tblCellMar>
            <w:top w:w="0" w:type="dxa"/>
            <w:left w:w="108" w:type="dxa"/>
            <w:bottom w:w="0" w:type="dxa"/>
            <w:right w:w="108" w:type="dxa"/>
          </w:tblCellMar>
        </w:tblPrEx>
        <w:trPr>
          <w:jc w:val="center"/>
        </w:trPr>
        <w:tc>
          <w:tcPr>
            <w:tcW w:w="1142" w:type="dxa"/>
            <w:vMerge/>
            <w:vAlign w:val="center"/>
          </w:tcPr>
          <w:p>
            <w:pPr>
              <w:pStyle w:val="a1"/>
              <w:widowControl w:val="0"/>
              <w:ind w:left="0" w:right="0" w:firstLine="0" w:leftChars="0" w:rightChars="0" w:firstLineChars="0"/>
              <w:jc w:val="center"/>
              <w:rPr>
                <w:rFonts w:ascii="宋体" w:eastAsia="宋体" w:hAnsi="宋体" w:cs="宋体" w:hint="eastAsia"/>
                <w:sz w:val="15"/>
                <w:szCs w:val="15"/>
                <w:vertAlign w:val="baseline"/>
                <w:lang w:val="en-US" w:eastAsia="zh-CN"/>
              </w:rPr>
            </w:pPr>
          </w:p>
        </w:tc>
        <w:tc>
          <w:tcPr>
            <w:tcW w:w="1142" w:type="dxa"/>
            <w:vMerge/>
            <w:vAlign w:val="center"/>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p>
        </w:tc>
        <w:tc>
          <w:tcPr>
            <w:tcW w:w="1698"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事件按时解决率</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规定时间内成功解决的事件数/事件总数×100%</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月度</w:t>
            </w:r>
          </w:p>
        </w:tc>
        <w:tc>
          <w:tcPr>
            <w:tcW w:w="1421"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≥90%</w:t>
            </w:r>
          </w:p>
        </w:tc>
      </w:tr>
      <w:tr>
        <w:tblPrEx>
          <w:tblW w:w="0" w:type="auto"/>
          <w:jc w:val="center"/>
          <w:tblCellMar>
            <w:top w:w="0" w:type="dxa"/>
            <w:left w:w="108" w:type="dxa"/>
            <w:bottom w:w="0" w:type="dxa"/>
            <w:right w:w="108" w:type="dxa"/>
          </w:tblCellMar>
        </w:tblPrEx>
        <w:trPr>
          <w:jc w:val="center"/>
        </w:trPr>
        <w:tc>
          <w:tcPr>
            <w:tcW w:w="1142" w:type="dxa"/>
            <w:vAlign w:val="center"/>
          </w:tcPr>
          <w:p>
            <w:pPr>
              <w:pStyle w:val="a1"/>
              <w:widowControl w:val="0"/>
              <w:numPr>
                <w:ilvl w:val="0"/>
                <w:numId w:val="2"/>
              </w:numPr>
              <w:ind w:left="0" w:right="0" w:firstLine="0" w:leftChars="0" w:rightChars="0" w:firstLineChars="0"/>
              <w:jc w:val="center"/>
              <w:rPr>
                <w:rFonts w:ascii="宋体" w:eastAsia="宋体" w:hAnsi="宋体" w:cs="宋体" w:hint="eastAsia"/>
                <w:sz w:val="15"/>
                <w:szCs w:val="15"/>
                <w:vertAlign w:val="baseline"/>
                <w:lang w:val="en-US" w:eastAsia="zh-CN"/>
              </w:rPr>
            </w:pPr>
          </w:p>
        </w:tc>
        <w:tc>
          <w:tcPr>
            <w:tcW w:w="1142" w:type="dxa"/>
            <w:vAlign w:val="center"/>
          </w:tcPr>
          <w:p>
            <w:pPr>
              <w:pStyle w:val="a1"/>
              <w:widowControl w:val="0"/>
              <w:ind w:left="0" w:right="0" w:firstLine="0" w:leftChars="0" w:rightChars="0" w:firstLineChars="0"/>
              <w:jc w:val="both"/>
              <w:rPr>
                <w:rFonts w:ascii="宋体" w:eastAsia="宋体" w:hAnsi="宋体" w:cs="宋体" w:hint="default"/>
                <w:sz w:val="15"/>
                <w:szCs w:val="15"/>
                <w:vertAlign w:val="baseline"/>
                <w:lang w:val="en-US" w:eastAsia="zh-CN"/>
              </w:rPr>
            </w:pPr>
            <w:r>
              <w:rPr>
                <w:rFonts w:ascii="宋体" w:eastAsia="宋体" w:hAnsi="宋体" w:cs="宋体" w:hint="eastAsia"/>
                <w:sz w:val="15"/>
                <w:szCs w:val="15"/>
                <w:vertAlign w:val="baseline"/>
                <w:lang w:val="en-US" w:eastAsia="zh-CN"/>
              </w:rPr>
              <w:t>问题管理</w:t>
            </w:r>
          </w:p>
        </w:tc>
        <w:tc>
          <w:tcPr>
            <w:tcW w:w="1698"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问题解决率</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实际解决的问题数/问题总数×100 %</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季度</w:t>
            </w:r>
          </w:p>
        </w:tc>
        <w:tc>
          <w:tcPr>
            <w:tcW w:w="1421"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≥95%</w:t>
            </w:r>
          </w:p>
        </w:tc>
      </w:tr>
      <w:tr>
        <w:tblPrEx>
          <w:tblW w:w="0" w:type="auto"/>
          <w:jc w:val="center"/>
          <w:tblCellMar>
            <w:top w:w="0" w:type="dxa"/>
            <w:left w:w="108" w:type="dxa"/>
            <w:bottom w:w="0" w:type="dxa"/>
            <w:right w:w="108" w:type="dxa"/>
          </w:tblCellMar>
        </w:tblPrEx>
        <w:trPr>
          <w:jc w:val="center"/>
        </w:trPr>
        <w:tc>
          <w:tcPr>
            <w:tcW w:w="1142" w:type="dxa"/>
            <w:vAlign w:val="center"/>
          </w:tcPr>
          <w:p>
            <w:pPr>
              <w:pStyle w:val="a1"/>
              <w:widowControl w:val="0"/>
              <w:numPr>
                <w:ilvl w:val="0"/>
                <w:numId w:val="2"/>
              </w:numPr>
              <w:ind w:left="0" w:right="0" w:firstLine="0" w:leftChars="0" w:rightChars="0" w:firstLineChars="0"/>
              <w:jc w:val="center"/>
              <w:rPr>
                <w:rFonts w:ascii="宋体" w:eastAsia="宋体" w:hAnsi="宋体" w:cs="宋体" w:hint="eastAsia"/>
                <w:sz w:val="15"/>
                <w:szCs w:val="15"/>
                <w:vertAlign w:val="baseline"/>
                <w:lang w:val="en-US" w:eastAsia="zh-CN"/>
              </w:rPr>
            </w:pPr>
          </w:p>
        </w:tc>
        <w:tc>
          <w:tcPr>
            <w:tcW w:w="1142" w:type="dxa"/>
            <w:vAlign w:val="center"/>
          </w:tcPr>
          <w:p>
            <w:pPr>
              <w:pStyle w:val="a1"/>
              <w:widowControl w:val="0"/>
              <w:ind w:left="0" w:right="0" w:firstLine="0" w:leftChars="0" w:rightChars="0" w:firstLineChars="0"/>
              <w:jc w:val="both"/>
              <w:rPr>
                <w:rFonts w:ascii="宋体" w:eastAsia="宋体" w:hAnsi="宋体" w:cs="宋体" w:hint="default"/>
                <w:sz w:val="15"/>
                <w:szCs w:val="15"/>
                <w:vertAlign w:val="baseline"/>
                <w:lang w:val="en-US" w:eastAsia="zh-CN"/>
              </w:rPr>
            </w:pPr>
            <w:r>
              <w:rPr>
                <w:rFonts w:ascii="宋体" w:eastAsia="宋体" w:hAnsi="宋体" w:cs="宋体" w:hint="eastAsia"/>
                <w:sz w:val="15"/>
                <w:szCs w:val="15"/>
                <w:vertAlign w:val="baseline"/>
                <w:lang w:val="en-US" w:eastAsia="zh-CN"/>
              </w:rPr>
              <w:t>变更管理</w:t>
            </w:r>
          </w:p>
        </w:tc>
        <w:tc>
          <w:tcPr>
            <w:tcW w:w="1698"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变更成功率</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(变次成功次数/变更总次数)×100%</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季度</w:t>
            </w:r>
          </w:p>
        </w:tc>
        <w:tc>
          <w:tcPr>
            <w:tcW w:w="1421"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≥95%</w:t>
            </w:r>
          </w:p>
        </w:tc>
      </w:tr>
      <w:tr>
        <w:tblPrEx>
          <w:tblW w:w="0" w:type="auto"/>
          <w:jc w:val="center"/>
          <w:tblCellMar>
            <w:top w:w="0" w:type="dxa"/>
            <w:left w:w="108" w:type="dxa"/>
            <w:bottom w:w="0" w:type="dxa"/>
            <w:right w:w="108" w:type="dxa"/>
          </w:tblCellMar>
        </w:tblPrEx>
        <w:trPr>
          <w:jc w:val="center"/>
        </w:trPr>
        <w:tc>
          <w:tcPr>
            <w:tcW w:w="1142" w:type="dxa"/>
            <w:vAlign w:val="center"/>
          </w:tcPr>
          <w:p>
            <w:pPr>
              <w:pStyle w:val="a1"/>
              <w:widowControl w:val="0"/>
              <w:numPr>
                <w:ilvl w:val="0"/>
                <w:numId w:val="2"/>
              </w:numPr>
              <w:ind w:left="0" w:right="0" w:firstLine="0" w:leftChars="0" w:rightChars="0" w:firstLineChars="0"/>
              <w:jc w:val="center"/>
              <w:rPr>
                <w:rFonts w:ascii="宋体" w:eastAsia="宋体" w:hAnsi="宋体" w:cs="宋体" w:hint="eastAsia"/>
                <w:sz w:val="15"/>
                <w:szCs w:val="15"/>
                <w:vertAlign w:val="baseline"/>
                <w:lang w:val="en-US" w:eastAsia="zh-CN"/>
              </w:rPr>
            </w:pPr>
          </w:p>
        </w:tc>
        <w:tc>
          <w:tcPr>
            <w:tcW w:w="1142" w:type="dxa"/>
            <w:vAlign w:val="center"/>
          </w:tcPr>
          <w:p>
            <w:pPr>
              <w:pStyle w:val="a1"/>
              <w:widowControl w:val="0"/>
              <w:ind w:left="0" w:right="0" w:firstLine="0" w:leftChars="0" w:rightChars="0" w:firstLineChars="0"/>
              <w:jc w:val="both"/>
              <w:rPr>
                <w:rFonts w:ascii="宋体" w:eastAsia="宋体" w:hAnsi="宋体" w:cs="宋体" w:hint="default"/>
                <w:sz w:val="15"/>
                <w:szCs w:val="15"/>
                <w:vertAlign w:val="baseline"/>
                <w:lang w:val="en-US" w:eastAsia="zh-CN"/>
              </w:rPr>
            </w:pPr>
            <w:r>
              <w:rPr>
                <w:rFonts w:ascii="宋体" w:eastAsia="宋体" w:hAnsi="宋体" w:cs="宋体" w:hint="eastAsia"/>
                <w:sz w:val="15"/>
                <w:szCs w:val="15"/>
                <w:vertAlign w:val="baseline"/>
                <w:lang w:val="en-US" w:eastAsia="zh-CN"/>
              </w:rPr>
              <w:t>发布管理</w:t>
            </w:r>
          </w:p>
        </w:tc>
        <w:tc>
          <w:tcPr>
            <w:tcW w:w="1698"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发布成功率</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(发布成功次数/发布总次数)×100%</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季度</w:t>
            </w:r>
          </w:p>
        </w:tc>
        <w:tc>
          <w:tcPr>
            <w:tcW w:w="1421"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≥95%</w:t>
            </w:r>
          </w:p>
        </w:tc>
      </w:tr>
      <w:tr>
        <w:tblPrEx>
          <w:tblW w:w="0" w:type="auto"/>
          <w:jc w:val="center"/>
          <w:tblCellMar>
            <w:top w:w="0" w:type="dxa"/>
            <w:left w:w="108" w:type="dxa"/>
            <w:bottom w:w="0" w:type="dxa"/>
            <w:right w:w="108" w:type="dxa"/>
          </w:tblCellMar>
        </w:tblPrEx>
        <w:trPr>
          <w:jc w:val="center"/>
        </w:trPr>
        <w:tc>
          <w:tcPr>
            <w:tcW w:w="1142" w:type="dxa"/>
            <w:vAlign w:val="center"/>
          </w:tcPr>
          <w:p>
            <w:pPr>
              <w:pStyle w:val="a1"/>
              <w:widowControl w:val="0"/>
              <w:numPr>
                <w:ilvl w:val="0"/>
                <w:numId w:val="2"/>
              </w:numPr>
              <w:ind w:left="0" w:right="0" w:firstLine="0" w:leftChars="0" w:rightChars="0" w:firstLineChars="0"/>
              <w:jc w:val="center"/>
              <w:rPr>
                <w:rFonts w:ascii="宋体" w:eastAsia="宋体" w:hAnsi="宋体" w:cs="宋体" w:hint="eastAsia"/>
                <w:sz w:val="15"/>
                <w:szCs w:val="15"/>
                <w:vertAlign w:val="baseline"/>
                <w:lang w:val="en-US" w:eastAsia="zh-CN"/>
              </w:rPr>
            </w:pPr>
          </w:p>
        </w:tc>
        <w:tc>
          <w:tcPr>
            <w:tcW w:w="1142" w:type="dxa"/>
            <w:vAlign w:val="center"/>
          </w:tcPr>
          <w:p>
            <w:pPr>
              <w:pStyle w:val="a1"/>
              <w:widowControl w:val="0"/>
              <w:ind w:left="0" w:right="0" w:firstLine="0" w:leftChars="0" w:rightChars="0" w:firstLineChars="0"/>
              <w:jc w:val="both"/>
              <w:rPr>
                <w:rFonts w:ascii="宋体" w:eastAsia="宋体" w:hAnsi="宋体" w:cs="宋体" w:hint="default"/>
                <w:sz w:val="15"/>
                <w:szCs w:val="15"/>
                <w:vertAlign w:val="baseline"/>
                <w:lang w:val="en-US" w:eastAsia="zh-CN"/>
              </w:rPr>
            </w:pPr>
            <w:r>
              <w:rPr>
                <w:rFonts w:ascii="宋体" w:eastAsia="宋体" w:hAnsi="宋体" w:cs="宋体" w:hint="eastAsia"/>
                <w:sz w:val="15"/>
                <w:szCs w:val="15"/>
                <w:vertAlign w:val="baseline"/>
                <w:lang w:val="en-US" w:eastAsia="zh-CN"/>
              </w:rPr>
              <w:t>配置管理</w:t>
            </w:r>
          </w:p>
        </w:tc>
        <w:tc>
          <w:tcPr>
            <w:tcW w:w="1698"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配置准确率</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(准确配置次数</w:t>
            </w:r>
            <w:r>
              <w:rPr>
                <w:rFonts w:ascii="宋体" w:hAnsi="宋体" w:cs="宋体" w:hint="eastAsia"/>
                <w:sz w:val="15"/>
                <w:szCs w:val="15"/>
                <w:vertAlign w:val="baseline"/>
                <w:lang w:val="en-US" w:eastAsia="zh-CN"/>
              </w:rPr>
              <w:t>/</w:t>
            </w:r>
            <w:r>
              <w:rPr>
                <w:rFonts w:ascii="宋体" w:eastAsia="宋体" w:hAnsi="宋体" w:cs="宋体" w:hint="eastAsia"/>
                <w:sz w:val="15"/>
                <w:szCs w:val="15"/>
                <w:vertAlign w:val="baseline"/>
                <w:lang w:val="en-US" w:eastAsia="zh-CN"/>
              </w:rPr>
              <w:t>配置总次数)×100%</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季度</w:t>
            </w:r>
          </w:p>
        </w:tc>
        <w:tc>
          <w:tcPr>
            <w:tcW w:w="1421"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≥99%</w:t>
            </w:r>
          </w:p>
        </w:tc>
      </w:tr>
      <w:tr>
        <w:tblPrEx>
          <w:tblW w:w="0" w:type="auto"/>
          <w:jc w:val="center"/>
          <w:tblCellMar>
            <w:top w:w="0" w:type="dxa"/>
            <w:left w:w="108" w:type="dxa"/>
            <w:bottom w:w="0" w:type="dxa"/>
            <w:right w:w="108" w:type="dxa"/>
          </w:tblCellMar>
        </w:tblPrEx>
        <w:trPr>
          <w:jc w:val="center"/>
        </w:trPr>
        <w:tc>
          <w:tcPr>
            <w:tcW w:w="1142" w:type="dxa"/>
            <w:vMerge w:val="restart"/>
            <w:vAlign w:val="center"/>
          </w:tcPr>
          <w:p>
            <w:pPr>
              <w:pStyle w:val="a1"/>
              <w:widowControl w:val="0"/>
              <w:numPr>
                <w:ilvl w:val="0"/>
                <w:numId w:val="2"/>
              </w:numPr>
              <w:ind w:left="0" w:right="0" w:firstLine="0" w:leftChars="0" w:rightChars="0" w:firstLineChars="0"/>
              <w:jc w:val="center"/>
              <w:rPr>
                <w:rFonts w:ascii="宋体" w:eastAsia="宋体" w:hAnsi="宋体" w:cs="宋体" w:hint="eastAsia"/>
                <w:sz w:val="15"/>
                <w:szCs w:val="15"/>
                <w:vertAlign w:val="baseline"/>
                <w:lang w:val="en-US" w:eastAsia="zh-CN"/>
              </w:rPr>
            </w:pPr>
          </w:p>
        </w:tc>
        <w:tc>
          <w:tcPr>
            <w:tcW w:w="1142" w:type="dxa"/>
            <w:vMerge w:val="restart"/>
            <w:vAlign w:val="center"/>
          </w:tcPr>
          <w:p>
            <w:pPr>
              <w:pStyle w:val="a1"/>
              <w:widowControl w:val="0"/>
              <w:ind w:left="0" w:right="0" w:firstLine="0" w:leftChars="0" w:rightChars="0" w:firstLineChars="0"/>
              <w:jc w:val="both"/>
              <w:rPr>
                <w:rFonts w:ascii="宋体" w:eastAsia="宋体" w:hAnsi="宋体" w:cs="宋体" w:hint="default"/>
                <w:sz w:val="15"/>
                <w:szCs w:val="15"/>
                <w:vertAlign w:val="baseline"/>
                <w:lang w:val="en-US" w:eastAsia="zh-CN"/>
              </w:rPr>
            </w:pPr>
            <w:r>
              <w:rPr>
                <w:rFonts w:ascii="宋体" w:eastAsia="宋体" w:hAnsi="宋体" w:cs="宋体" w:hint="eastAsia"/>
                <w:sz w:val="15"/>
                <w:szCs w:val="15"/>
                <w:vertAlign w:val="baseline"/>
                <w:lang w:val="en-US" w:eastAsia="zh-CN"/>
              </w:rPr>
              <w:t>服务可用性和连续性管理</w:t>
            </w:r>
          </w:p>
        </w:tc>
        <w:tc>
          <w:tcPr>
            <w:tcW w:w="1698"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关键服务可用率</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(服务约定运行时间 - 服务不可用时间)</w:t>
            </w:r>
            <w:r>
              <w:rPr>
                <w:rFonts w:ascii="宋体" w:hAnsi="宋体" w:cs="宋体" w:hint="eastAsia"/>
                <w:sz w:val="15"/>
                <w:szCs w:val="15"/>
                <w:vertAlign w:val="baseline"/>
                <w:lang w:val="en-US" w:eastAsia="zh-CN"/>
              </w:rPr>
              <w:t>/</w:t>
            </w:r>
            <w:r>
              <w:rPr>
                <w:rFonts w:ascii="宋体" w:eastAsia="宋体" w:hAnsi="宋体" w:cs="宋体" w:hint="eastAsia"/>
                <w:sz w:val="15"/>
                <w:szCs w:val="15"/>
                <w:vertAlign w:val="baseline"/>
                <w:lang w:val="en-US" w:eastAsia="zh-CN"/>
              </w:rPr>
              <w:t>服务约定运行时间×100%</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月度</w:t>
            </w:r>
          </w:p>
        </w:tc>
        <w:tc>
          <w:tcPr>
            <w:tcW w:w="1421"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≥99%</w:t>
            </w:r>
          </w:p>
        </w:tc>
      </w:tr>
      <w:tr>
        <w:tblPrEx>
          <w:tblW w:w="0" w:type="auto"/>
          <w:jc w:val="center"/>
          <w:tblCellMar>
            <w:top w:w="0" w:type="dxa"/>
            <w:left w:w="108" w:type="dxa"/>
            <w:bottom w:w="0" w:type="dxa"/>
            <w:right w:w="108" w:type="dxa"/>
          </w:tblCellMar>
        </w:tblPrEx>
        <w:trPr>
          <w:jc w:val="center"/>
        </w:trPr>
        <w:tc>
          <w:tcPr>
            <w:tcW w:w="1142" w:type="dxa"/>
            <w:vMerge/>
            <w:vAlign w:val="center"/>
          </w:tcPr>
          <w:p>
            <w:pPr>
              <w:pStyle w:val="a1"/>
              <w:widowControl w:val="0"/>
              <w:ind w:left="0" w:right="0" w:firstLine="0" w:leftChars="0" w:rightChars="0" w:firstLineChars="0"/>
              <w:jc w:val="center"/>
              <w:rPr>
                <w:rFonts w:ascii="宋体" w:eastAsia="宋体" w:hAnsi="宋体" w:cs="宋体" w:hint="eastAsia"/>
                <w:sz w:val="15"/>
                <w:szCs w:val="15"/>
                <w:vertAlign w:val="baseline"/>
                <w:lang w:val="en-US" w:eastAsia="zh-CN"/>
              </w:rPr>
            </w:pPr>
          </w:p>
        </w:tc>
        <w:tc>
          <w:tcPr>
            <w:tcW w:w="1142" w:type="dxa"/>
            <w:vMerge/>
            <w:vAlign w:val="center"/>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p>
        </w:tc>
        <w:tc>
          <w:tcPr>
            <w:tcW w:w="1698"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服务中断事件数量</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统计期内导致服务不可用的事件发生次数</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月度</w:t>
            </w:r>
          </w:p>
        </w:tc>
        <w:tc>
          <w:tcPr>
            <w:tcW w:w="1421"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≤1次</w:t>
            </w:r>
          </w:p>
        </w:tc>
      </w:tr>
      <w:tr>
        <w:tblPrEx>
          <w:tblW w:w="0" w:type="auto"/>
          <w:jc w:val="center"/>
          <w:tblCellMar>
            <w:top w:w="0" w:type="dxa"/>
            <w:left w:w="108" w:type="dxa"/>
            <w:bottom w:w="0" w:type="dxa"/>
            <w:right w:w="108" w:type="dxa"/>
          </w:tblCellMar>
        </w:tblPrEx>
        <w:trPr>
          <w:jc w:val="center"/>
        </w:trPr>
        <w:tc>
          <w:tcPr>
            <w:tcW w:w="1142" w:type="dxa"/>
            <w:vAlign w:val="center"/>
          </w:tcPr>
          <w:p>
            <w:pPr>
              <w:pStyle w:val="a1"/>
              <w:widowControl w:val="0"/>
              <w:numPr>
                <w:ilvl w:val="0"/>
                <w:numId w:val="2"/>
              </w:numPr>
              <w:ind w:left="0" w:right="0" w:firstLine="0" w:leftChars="0" w:rightChars="0" w:firstLineChars="0"/>
              <w:jc w:val="center"/>
              <w:rPr>
                <w:rFonts w:ascii="宋体" w:eastAsia="宋体" w:hAnsi="宋体" w:cs="宋体" w:hint="eastAsia"/>
                <w:sz w:val="15"/>
                <w:szCs w:val="15"/>
                <w:vertAlign w:val="baseline"/>
                <w:lang w:val="en-US" w:eastAsia="zh-CN"/>
              </w:rPr>
            </w:pPr>
          </w:p>
        </w:tc>
        <w:tc>
          <w:tcPr>
            <w:tcW w:w="1142" w:type="dxa"/>
            <w:vAlign w:val="center"/>
          </w:tcPr>
          <w:p>
            <w:pPr>
              <w:pStyle w:val="a1"/>
              <w:widowControl w:val="0"/>
              <w:ind w:left="0" w:right="0" w:firstLine="0" w:leftChars="0" w:rightChars="0" w:firstLineChars="0"/>
              <w:jc w:val="both"/>
              <w:rPr>
                <w:rFonts w:ascii="宋体" w:eastAsia="宋体" w:hAnsi="宋体" w:cs="宋体" w:hint="default"/>
                <w:sz w:val="15"/>
                <w:szCs w:val="15"/>
                <w:vertAlign w:val="baseline"/>
                <w:lang w:val="en-US" w:eastAsia="zh-CN"/>
              </w:rPr>
            </w:pPr>
            <w:r>
              <w:rPr>
                <w:rFonts w:ascii="宋体" w:eastAsia="宋体" w:hAnsi="宋体" w:cs="宋体" w:hint="eastAsia"/>
                <w:sz w:val="15"/>
                <w:szCs w:val="15"/>
                <w:vertAlign w:val="baseline"/>
                <w:lang w:val="en-US" w:eastAsia="zh-CN"/>
              </w:rPr>
              <w:t>容量管理</w:t>
            </w:r>
          </w:p>
        </w:tc>
        <w:tc>
          <w:tcPr>
            <w:tcW w:w="1698"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容量事件次数</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因容量不足导致的服务事件数量</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季度</w:t>
            </w:r>
          </w:p>
        </w:tc>
        <w:tc>
          <w:tcPr>
            <w:tcW w:w="1421"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≤1次</w:t>
            </w:r>
          </w:p>
        </w:tc>
      </w:tr>
      <w:tr>
        <w:tblPrEx>
          <w:tblW w:w="0" w:type="auto"/>
          <w:jc w:val="center"/>
          <w:tblCellMar>
            <w:top w:w="0" w:type="dxa"/>
            <w:left w:w="108" w:type="dxa"/>
            <w:bottom w:w="0" w:type="dxa"/>
            <w:right w:w="108" w:type="dxa"/>
          </w:tblCellMar>
        </w:tblPrEx>
        <w:trPr>
          <w:jc w:val="center"/>
        </w:trPr>
        <w:tc>
          <w:tcPr>
            <w:tcW w:w="1142" w:type="dxa"/>
            <w:vAlign w:val="center"/>
          </w:tcPr>
          <w:p>
            <w:pPr>
              <w:pStyle w:val="a1"/>
              <w:widowControl w:val="0"/>
              <w:numPr>
                <w:ilvl w:val="0"/>
                <w:numId w:val="2"/>
              </w:numPr>
              <w:ind w:left="0" w:right="0" w:firstLine="0" w:leftChars="0" w:rightChars="0" w:firstLineChars="0"/>
              <w:jc w:val="center"/>
              <w:rPr>
                <w:rFonts w:ascii="宋体" w:eastAsia="宋体" w:hAnsi="宋体" w:cs="宋体" w:hint="eastAsia"/>
                <w:sz w:val="15"/>
                <w:szCs w:val="15"/>
                <w:vertAlign w:val="baseline"/>
                <w:lang w:val="en-US" w:eastAsia="zh-CN"/>
              </w:rPr>
            </w:pPr>
          </w:p>
        </w:tc>
        <w:tc>
          <w:tcPr>
            <w:tcW w:w="1142" w:type="dxa"/>
            <w:vAlign w:val="center"/>
          </w:tcPr>
          <w:p>
            <w:pPr>
              <w:pStyle w:val="a1"/>
              <w:widowControl w:val="0"/>
              <w:ind w:left="0" w:right="0" w:firstLine="0" w:leftChars="0" w:rightChars="0" w:firstLineChars="0"/>
              <w:jc w:val="both"/>
              <w:rPr>
                <w:rFonts w:ascii="宋体" w:eastAsia="宋体" w:hAnsi="宋体" w:cs="宋体" w:hint="default"/>
                <w:sz w:val="15"/>
                <w:szCs w:val="15"/>
                <w:vertAlign w:val="baseline"/>
                <w:lang w:val="en-US" w:eastAsia="zh-CN"/>
              </w:rPr>
            </w:pPr>
            <w:r>
              <w:rPr>
                <w:rFonts w:ascii="宋体" w:eastAsia="宋体" w:hAnsi="宋体" w:cs="宋体" w:hint="eastAsia"/>
                <w:sz w:val="15"/>
                <w:szCs w:val="15"/>
                <w:vertAlign w:val="baseline"/>
                <w:lang w:val="en-US" w:eastAsia="zh-CN"/>
              </w:rPr>
              <w:t>信息安全管理</w:t>
            </w:r>
          </w:p>
        </w:tc>
        <w:tc>
          <w:tcPr>
            <w:tcW w:w="1698"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信息泄露次数</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客户信息泄露的事件次数</w:t>
            </w:r>
          </w:p>
        </w:tc>
        <w:tc>
          <w:tcPr>
            <w:tcW w:w="1420"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年度</w:t>
            </w:r>
          </w:p>
        </w:tc>
        <w:tc>
          <w:tcPr>
            <w:tcW w:w="1421" w:type="dxa"/>
            <w:shd w:val="clear" w:color="auto" w:fill="auto"/>
          </w:tcPr>
          <w:p>
            <w:pPr>
              <w:pStyle w:val="a1"/>
              <w:widowControl w:val="0"/>
              <w:ind w:left="0" w:right="0" w:firstLine="0" w:leftChars="0" w:rightChars="0" w:firstLineChars="0"/>
              <w:jc w:val="both"/>
              <w:rPr>
                <w:rFonts w:ascii="宋体" w:eastAsia="宋体" w:hAnsi="宋体" w:cs="宋体" w:hint="eastAsia"/>
                <w:sz w:val="15"/>
                <w:szCs w:val="15"/>
                <w:vertAlign w:val="baseline"/>
                <w:lang w:val="en-US" w:eastAsia="zh-CN"/>
              </w:rPr>
            </w:pPr>
            <w:r>
              <w:rPr>
                <w:rFonts w:ascii="宋体" w:eastAsia="宋体" w:hAnsi="宋体" w:cs="宋体" w:hint="eastAsia"/>
                <w:sz w:val="15"/>
                <w:szCs w:val="15"/>
                <w:vertAlign w:val="baseline"/>
                <w:lang w:val="en-US" w:eastAsia="zh-CN"/>
              </w:rPr>
              <w:t>≤2次</w:t>
            </w:r>
          </w:p>
        </w:tc>
      </w:tr>
    </w:tbl>
    <w:p>
      <w:pPr>
        <w:pStyle w:val="a1"/>
        <w:ind w:left="0" w:right="0" w:firstLine="0" w:leftChars="0" w:rightChars="0" w:firstLineChars="0"/>
        <w:jc w:val="both"/>
        <w:rPr>
          <w:rFonts w:hint="default"/>
          <w:vertAlign w:val="baseline"/>
          <w:lang w:val="en-US" w:eastAsia="zh-CN"/>
        </w:rPr>
      </w:pPr>
    </w:p>
    <w:sectPr>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B75BF121"/>
    <w:multiLevelType w:val="singleLevel"/>
    <w:tmpl w:val="B75BF121"/>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4</Pages>
  <Words>301</Words>
  <Characters>370</Characters>
  <Application>Microsoft Office Word</Application>
  <DocSecurity>0</DocSecurity>
  <Lines>0</Lines>
  <Paragraphs>0</Paragraphs>
  <ScaleCrop>false</ScaleCrop>
  <Company/>
  <LinksUpToDate>false</LinksUpToDate>
  <CharactersWithSpaces>376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2026-01-15T13:59:48Z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