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GoBack"/>
      <w:bookmarkEnd w:id="0"/>
      <w:bookmarkStart w:id="1" w:name="_Toc26733"/>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2" w:name="_Toc27859"/>
      <w:r>
        <w:rPr>
          <w:rFonts w:hint="eastAsia"/>
          <w:lang w:val="en-US" w:eastAsia="zh-CN"/>
        </w:rPr>
        <w:t>西安国豪生物科技有限公司生物工程技术研发试验分析系统运维服务项目-信息安全管理计划</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综合管理部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20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_Toc26733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_Toc26733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_Toc27859 </w:instrText>
          </w:r>
          <w:r>
            <w:rPr>
              <w:rFonts w:ascii="宋体" w:eastAsia="宋体" w:hAnsi="宋体" w:cs="宋体" w:hint="eastAsia"/>
              <w:szCs w:val="24"/>
            </w:rPr>
            <w:fldChar w:fldCharType="separate"/>
          </w:r>
          <w:r>
            <w:rPr>
              <w:rFonts w:hint="eastAsia"/>
              <w:lang w:val="en-US" w:eastAsia="zh-CN"/>
            </w:rPr>
            <w:t>西安国豪生物科技有限公司生物工程技术研发试验分析系统运维服务项目-信息安全管理计划</w:t>
          </w:r>
          <w:r>
            <w:tab/>
          </w:r>
          <w:r>
            <w:fldChar w:fldCharType="begin"/>
          </w:r>
          <w:r>
            <w:instrText xml:space="preserve"> PAGEREF _Toc27859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_Toc29297 </w:instrText>
          </w:r>
          <w:r>
            <w:rPr>
              <w:rFonts w:ascii="宋体" w:eastAsia="宋体" w:hAnsi="宋体" w:cs="宋体" w:hint="eastAsia"/>
              <w:szCs w:val="24"/>
            </w:rPr>
            <w:fldChar w:fldCharType="separate"/>
          </w:r>
          <w:r>
            <w:rPr>
              <w:rFonts w:hint="default"/>
              <w:lang w:val="en-US" w:eastAsia="zh-CN"/>
            </w:rPr>
            <w:t>1. 总则</w:t>
          </w:r>
          <w:r>
            <w:tab/>
          </w:r>
          <w:r>
            <w:fldChar w:fldCharType="begin"/>
          </w:r>
          <w:r>
            <w:instrText xml:space="preserve"> PAGEREF _Toc29297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_Toc8856 </w:instrText>
          </w:r>
          <w:r>
            <w:rPr>
              <w:rFonts w:ascii="宋体" w:eastAsia="宋体" w:hAnsi="宋体" w:cs="宋体" w:hint="eastAsia"/>
              <w:szCs w:val="24"/>
            </w:rPr>
            <w:fldChar w:fldCharType="separate"/>
          </w:r>
          <w:r>
            <w:rPr>
              <w:rFonts w:hint="default"/>
              <w:lang w:val="en-US" w:eastAsia="zh-CN"/>
            </w:rPr>
            <w:t>1.1. 目的</w:t>
          </w:r>
          <w:r>
            <w:tab/>
          </w:r>
          <w:r>
            <w:fldChar w:fldCharType="begin"/>
          </w:r>
          <w:r>
            <w:instrText xml:space="preserve"> PAGEREF _Toc8856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_Toc8912 </w:instrText>
          </w:r>
          <w:r>
            <w:rPr>
              <w:rFonts w:ascii="宋体" w:eastAsia="宋体" w:hAnsi="宋体" w:cs="宋体" w:hint="eastAsia"/>
              <w:szCs w:val="24"/>
            </w:rPr>
            <w:fldChar w:fldCharType="separate"/>
          </w:r>
          <w:r>
            <w:rPr>
              <w:rFonts w:hint="default"/>
              <w:lang w:val="en-US" w:eastAsia="zh-CN"/>
            </w:rPr>
            <w:t>1.2. 范围</w:t>
          </w:r>
          <w:r>
            <w:tab/>
          </w:r>
          <w:r>
            <w:fldChar w:fldCharType="begin"/>
          </w:r>
          <w:r>
            <w:instrText xml:space="preserve"> PAGEREF _Toc8912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_Toc13587 </w:instrText>
          </w:r>
          <w:r>
            <w:rPr>
              <w:rFonts w:ascii="宋体" w:eastAsia="宋体" w:hAnsi="宋体" w:cs="宋体" w:hint="eastAsia"/>
              <w:szCs w:val="24"/>
            </w:rPr>
            <w:fldChar w:fldCharType="separate"/>
          </w:r>
          <w:r>
            <w:rPr>
              <w:rFonts w:hint="default"/>
              <w:lang w:val="en-US" w:eastAsia="zh-CN"/>
            </w:rPr>
            <w:t>1.3. 依据</w:t>
          </w:r>
          <w:r>
            <w:tab/>
          </w:r>
          <w:r>
            <w:fldChar w:fldCharType="begin"/>
          </w:r>
          <w:r>
            <w:instrText xml:space="preserve"> PAGEREF _Toc13587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_Toc14009 </w:instrText>
          </w:r>
          <w:r>
            <w:rPr>
              <w:rFonts w:ascii="宋体" w:eastAsia="宋体" w:hAnsi="宋体" w:cs="宋体" w:hint="eastAsia"/>
              <w:szCs w:val="24"/>
            </w:rPr>
            <w:fldChar w:fldCharType="separate"/>
          </w:r>
          <w:r>
            <w:rPr>
              <w:rFonts w:hint="default"/>
              <w:lang w:val="en-US" w:eastAsia="zh-CN"/>
            </w:rPr>
            <w:t>2. 安全管理目标</w:t>
          </w:r>
          <w:r>
            <w:tab/>
          </w:r>
          <w:r>
            <w:fldChar w:fldCharType="begin"/>
          </w:r>
          <w:r>
            <w:instrText xml:space="preserve"> PAGEREF _Toc14009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_Toc29925 </w:instrText>
          </w:r>
          <w:r>
            <w:rPr>
              <w:rFonts w:ascii="宋体" w:eastAsia="宋体" w:hAnsi="宋体" w:cs="宋体" w:hint="eastAsia"/>
              <w:szCs w:val="24"/>
            </w:rPr>
            <w:fldChar w:fldCharType="separate"/>
          </w:r>
          <w:r>
            <w:rPr>
              <w:rFonts w:hint="default"/>
              <w:lang w:val="en-US" w:eastAsia="zh-CN"/>
            </w:rPr>
            <w:t>3. 组织与职责</w:t>
          </w:r>
          <w:r>
            <w:tab/>
          </w:r>
          <w:r>
            <w:fldChar w:fldCharType="begin"/>
          </w:r>
          <w:r>
            <w:instrText xml:space="preserve"> PAGEREF _Toc29925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_Toc27574 </w:instrText>
          </w:r>
          <w:r>
            <w:rPr>
              <w:rFonts w:ascii="宋体" w:eastAsia="宋体" w:hAnsi="宋体" w:cs="宋体" w:hint="eastAsia"/>
              <w:szCs w:val="24"/>
            </w:rPr>
            <w:fldChar w:fldCharType="separate"/>
          </w:r>
          <w:r>
            <w:rPr>
              <w:rFonts w:hint="default"/>
              <w:lang w:val="en-US" w:eastAsia="zh-CN"/>
            </w:rPr>
            <w:t>3.1. 信息安全领导小组</w:t>
          </w:r>
          <w:r>
            <w:tab/>
          </w:r>
          <w:r>
            <w:fldChar w:fldCharType="begin"/>
          </w:r>
          <w:r>
            <w:instrText xml:space="preserve"> PAGEREF _Toc27574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_Toc17209 </w:instrText>
          </w:r>
          <w:r>
            <w:rPr>
              <w:rFonts w:ascii="宋体" w:eastAsia="宋体" w:hAnsi="宋体" w:cs="宋体" w:hint="eastAsia"/>
              <w:szCs w:val="24"/>
            </w:rPr>
            <w:fldChar w:fldCharType="separate"/>
          </w:r>
          <w:r>
            <w:rPr>
              <w:rFonts w:hint="default"/>
              <w:lang w:val="en-US" w:eastAsia="zh-CN"/>
            </w:rPr>
            <w:t>3.2. 项目实施团队安全职责</w:t>
          </w:r>
          <w:r>
            <w:tab/>
          </w:r>
          <w:r>
            <w:fldChar w:fldCharType="begin"/>
          </w:r>
          <w:r>
            <w:instrText xml:space="preserve"> PAGEREF _Toc17209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_Toc22781 </w:instrText>
          </w:r>
          <w:r>
            <w:rPr>
              <w:rFonts w:ascii="宋体" w:eastAsia="宋体" w:hAnsi="宋体" w:cs="宋体" w:hint="eastAsia"/>
              <w:szCs w:val="24"/>
            </w:rPr>
            <w:fldChar w:fldCharType="separate"/>
          </w:r>
          <w:r>
            <w:rPr>
              <w:rFonts w:hint="default"/>
              <w:lang w:val="en-US" w:eastAsia="zh-CN"/>
            </w:rPr>
            <w:t>4. 安全控制措施</w:t>
          </w:r>
          <w:r>
            <w:tab/>
          </w:r>
          <w:r>
            <w:fldChar w:fldCharType="begin"/>
          </w:r>
          <w:r>
            <w:instrText xml:space="preserve"> PAGEREF _Toc22781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_Toc4666 </w:instrText>
          </w:r>
          <w:r>
            <w:rPr>
              <w:rFonts w:ascii="宋体" w:eastAsia="宋体" w:hAnsi="宋体" w:cs="宋体" w:hint="eastAsia"/>
              <w:szCs w:val="24"/>
            </w:rPr>
            <w:fldChar w:fldCharType="separate"/>
          </w:r>
          <w:r>
            <w:rPr>
              <w:rFonts w:hint="default"/>
              <w:lang w:val="en-US" w:eastAsia="zh-CN"/>
            </w:rPr>
            <w:t>4.1. 人员安全</w:t>
          </w:r>
          <w:r>
            <w:tab/>
          </w:r>
          <w:r>
            <w:fldChar w:fldCharType="begin"/>
          </w:r>
          <w:r>
            <w:instrText xml:space="preserve"> PAGEREF _Toc4666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_Toc18584 </w:instrText>
          </w:r>
          <w:r>
            <w:rPr>
              <w:rFonts w:ascii="宋体" w:eastAsia="宋体" w:hAnsi="宋体" w:cs="宋体" w:hint="eastAsia"/>
              <w:szCs w:val="24"/>
            </w:rPr>
            <w:fldChar w:fldCharType="separate"/>
          </w:r>
          <w:r>
            <w:rPr>
              <w:rFonts w:hint="default"/>
              <w:lang w:val="en-US" w:eastAsia="zh-CN"/>
            </w:rPr>
            <w:t>4.2. 物理与环境安全</w:t>
          </w:r>
          <w:r>
            <w:tab/>
          </w:r>
          <w:r>
            <w:fldChar w:fldCharType="begin"/>
          </w:r>
          <w:r>
            <w:instrText xml:space="preserve"> PAGEREF _Toc18584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_Toc18987 </w:instrText>
          </w:r>
          <w:r>
            <w:rPr>
              <w:rFonts w:ascii="宋体" w:eastAsia="宋体" w:hAnsi="宋体" w:cs="宋体" w:hint="eastAsia"/>
              <w:szCs w:val="24"/>
            </w:rPr>
            <w:fldChar w:fldCharType="separate"/>
          </w:r>
          <w:r>
            <w:rPr>
              <w:rFonts w:hint="default"/>
              <w:lang w:val="en-US" w:eastAsia="zh-CN"/>
            </w:rPr>
            <w:t>4.3. 系统开发与获取安全</w:t>
          </w:r>
          <w:r>
            <w:tab/>
          </w:r>
          <w:r>
            <w:fldChar w:fldCharType="begin"/>
          </w:r>
          <w:r>
            <w:instrText xml:space="preserve"> PAGEREF _Toc18987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_Toc13976 </w:instrText>
          </w:r>
          <w:r>
            <w:rPr>
              <w:rFonts w:ascii="宋体" w:eastAsia="宋体" w:hAnsi="宋体" w:cs="宋体" w:hint="eastAsia"/>
              <w:szCs w:val="24"/>
            </w:rPr>
            <w:fldChar w:fldCharType="separate"/>
          </w:r>
          <w:r>
            <w:rPr>
              <w:rFonts w:hint="default"/>
              <w:lang w:val="en-US" w:eastAsia="zh-CN"/>
            </w:rPr>
            <w:t>4.4. 系统运维与访问控制</w:t>
          </w:r>
          <w:r>
            <w:tab/>
          </w:r>
          <w:r>
            <w:fldChar w:fldCharType="begin"/>
          </w:r>
          <w:r>
            <w:instrText xml:space="preserve"> PAGEREF _Toc13976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_Toc16464 </w:instrText>
          </w:r>
          <w:r>
            <w:rPr>
              <w:rFonts w:ascii="宋体" w:eastAsia="宋体" w:hAnsi="宋体" w:cs="宋体" w:hint="eastAsia"/>
              <w:szCs w:val="24"/>
            </w:rPr>
            <w:fldChar w:fldCharType="separate"/>
          </w:r>
          <w:r>
            <w:rPr>
              <w:rFonts w:hint="default"/>
              <w:lang w:val="en-US" w:eastAsia="zh-CN"/>
            </w:rPr>
            <w:t>5. 安全事件管理与应急响应</w:t>
          </w:r>
          <w:r>
            <w:tab/>
          </w:r>
          <w:r>
            <w:fldChar w:fldCharType="begin"/>
          </w:r>
          <w:r>
            <w:instrText xml:space="preserve"> PAGEREF _Toc16464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_Toc3806 </w:instrText>
          </w:r>
          <w:r>
            <w:rPr>
              <w:rFonts w:ascii="宋体" w:eastAsia="宋体" w:hAnsi="宋体" w:cs="宋体" w:hint="eastAsia"/>
              <w:szCs w:val="24"/>
            </w:rPr>
            <w:fldChar w:fldCharType="separate"/>
          </w:r>
          <w:r>
            <w:rPr>
              <w:rFonts w:hint="default"/>
              <w:lang w:val="en-US" w:eastAsia="zh-CN"/>
            </w:rPr>
            <w:t>5.1. 定义与分类</w:t>
          </w:r>
          <w:r>
            <w:tab/>
          </w:r>
          <w:r>
            <w:fldChar w:fldCharType="begin"/>
          </w:r>
          <w:r>
            <w:instrText xml:space="preserve"> PAGEREF _Toc3806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_Toc5637 </w:instrText>
          </w:r>
          <w:r>
            <w:rPr>
              <w:rFonts w:ascii="宋体" w:eastAsia="宋体" w:hAnsi="宋体" w:cs="宋体" w:hint="eastAsia"/>
              <w:szCs w:val="24"/>
            </w:rPr>
            <w:fldChar w:fldCharType="separate"/>
          </w:r>
          <w:r>
            <w:rPr>
              <w:rFonts w:hint="default"/>
              <w:lang w:val="en-US" w:eastAsia="zh-CN"/>
            </w:rPr>
            <w:t>5.2. 响应流程</w:t>
          </w:r>
          <w:r>
            <w:tab/>
          </w:r>
          <w:r>
            <w:fldChar w:fldCharType="begin"/>
          </w:r>
          <w:r>
            <w:instrText xml:space="preserve"> PAGEREF _Toc5637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_Toc17993 </w:instrText>
          </w:r>
          <w:r>
            <w:rPr>
              <w:rFonts w:ascii="宋体" w:eastAsia="宋体" w:hAnsi="宋体" w:cs="宋体" w:hint="eastAsia"/>
              <w:szCs w:val="24"/>
            </w:rPr>
            <w:fldChar w:fldCharType="separate"/>
          </w:r>
          <w:r>
            <w:rPr>
              <w:rFonts w:hint="default"/>
              <w:lang w:val="en-US" w:eastAsia="zh-CN"/>
            </w:rPr>
            <w:t>6. 合规性与审计</w:t>
          </w:r>
          <w:r>
            <w:tab/>
          </w:r>
          <w:r>
            <w:fldChar w:fldCharType="begin"/>
          </w:r>
          <w:r>
            <w:instrText xml:space="preserve"> PAGEREF _Toc17993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_Toc18878 </w:instrText>
          </w:r>
          <w:r>
            <w:rPr>
              <w:rFonts w:ascii="宋体" w:eastAsia="宋体" w:hAnsi="宋体" w:cs="宋体" w:hint="eastAsia"/>
              <w:szCs w:val="24"/>
            </w:rPr>
            <w:fldChar w:fldCharType="separate"/>
          </w:r>
          <w:r>
            <w:rPr>
              <w:rFonts w:hint="default"/>
              <w:lang w:val="en-US" w:eastAsia="zh-CN"/>
            </w:rPr>
            <w:t>6.1. 合规性检查</w:t>
          </w:r>
          <w:r>
            <w:tab/>
          </w:r>
          <w:r>
            <w:fldChar w:fldCharType="begin"/>
          </w:r>
          <w:r>
            <w:instrText xml:space="preserve"> PAGEREF _Toc18878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_Toc4688 </w:instrText>
          </w:r>
          <w:r>
            <w:rPr>
              <w:rFonts w:ascii="宋体" w:eastAsia="宋体" w:hAnsi="宋体" w:cs="宋体" w:hint="eastAsia"/>
              <w:szCs w:val="24"/>
            </w:rPr>
            <w:fldChar w:fldCharType="separate"/>
          </w:r>
          <w:r>
            <w:rPr>
              <w:rFonts w:hint="default"/>
              <w:lang w:val="en-US" w:eastAsia="zh-CN"/>
            </w:rPr>
            <w:t>6.2. 审计</w:t>
          </w:r>
          <w:r>
            <w:tab/>
          </w:r>
          <w:r>
            <w:fldChar w:fldCharType="begin"/>
          </w:r>
          <w:r>
            <w:instrText xml:space="preserve"> PAGEREF _Toc4688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_Toc20668 </w:instrText>
          </w:r>
          <w:r>
            <w:rPr>
              <w:rFonts w:ascii="宋体" w:eastAsia="宋体" w:hAnsi="宋体" w:cs="宋体" w:hint="eastAsia"/>
              <w:szCs w:val="24"/>
            </w:rPr>
            <w:fldChar w:fldCharType="separate"/>
          </w:r>
          <w:r>
            <w:rPr>
              <w:rFonts w:hint="default"/>
              <w:lang w:val="en-US" w:eastAsia="zh-CN"/>
            </w:rPr>
            <w:t>7. 计划评审与更新</w:t>
          </w:r>
          <w:r>
            <w:tab/>
          </w:r>
          <w:r>
            <w:fldChar w:fldCharType="begin"/>
          </w:r>
          <w:r>
            <w:instrText xml:space="preserve"> PAGEREF _Toc20668 \h </w:instrText>
          </w:r>
          <w:r>
            <w:fldChar w:fldCharType="separate"/>
          </w:r>
          <w:r>
            <w:t>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3" w:name="_Toc29297"/>
      <w:r>
        <w:rPr>
          <w:rFonts w:hint="default"/>
          <w:lang w:val="en-US" w:eastAsia="zh-CN"/>
        </w:rPr>
        <w:t>总则</w:t>
      </w:r>
      <w:bookmarkEnd w:id="3"/>
    </w:p>
    <w:p>
      <w:pPr>
        <w:pStyle w:val="2"/>
        <w:bidi w:val="0"/>
        <w:rPr>
          <w:rFonts w:hint="default"/>
          <w:lang w:val="en-US" w:eastAsia="zh-CN"/>
        </w:rPr>
      </w:pPr>
      <w:bookmarkStart w:id="4" w:name="_Toc8856"/>
      <w:r>
        <w:rPr>
          <w:rFonts w:hint="default"/>
          <w:lang w:val="en-US" w:eastAsia="zh-CN"/>
        </w:rPr>
        <w:t>目的</w:t>
      </w:r>
      <w:bookmarkEnd w:id="4"/>
    </w:p>
    <w:p>
      <w:pPr>
        <w:pStyle w:val="a1"/>
        <w:rPr>
          <w:rFonts w:hint="default"/>
          <w:lang w:val="en-US" w:eastAsia="zh-CN"/>
        </w:rPr>
      </w:pPr>
      <w:r>
        <w:rPr>
          <w:rFonts w:hint="default"/>
          <w:lang w:val="en-US" w:eastAsia="zh-CN"/>
        </w:rPr>
        <w:t>为确保“西安国豪生物科技有限公司生物工程技术研发试验分析系统运维服务项目”（下称“本项目”）在全生命周期（包括设计、开发、测试、部署、运维及废止）中的信息安全，保护甲方（西安国豪生物科技有限公司）及最终用户的业务数据、个人信息及商业秘密免受泄露、篡改、丢失及未授权访问等风险，并满足国家法律法规、监管要求及合同约定，特制定本信息安全管理计划。</w:t>
      </w:r>
    </w:p>
    <w:p>
      <w:pPr>
        <w:pStyle w:val="2"/>
        <w:bidi w:val="0"/>
        <w:rPr>
          <w:rFonts w:hint="default"/>
          <w:lang w:val="en-US" w:eastAsia="zh-CN"/>
        </w:rPr>
      </w:pPr>
      <w:bookmarkStart w:id="5" w:name="_Toc8912"/>
      <w:r>
        <w:rPr>
          <w:rFonts w:hint="default"/>
          <w:lang w:val="en-US" w:eastAsia="zh-CN"/>
        </w:rPr>
        <w:t>范围</w:t>
      </w:r>
      <w:bookmarkEnd w:id="5"/>
    </w:p>
    <w:p>
      <w:pPr>
        <w:pStyle w:val="a1"/>
        <w:rPr>
          <w:rFonts w:hint="default"/>
          <w:lang w:val="en-US" w:eastAsia="zh-CN"/>
        </w:rPr>
      </w:pPr>
      <w:r>
        <w:rPr>
          <w:rFonts w:hint="default"/>
          <w:lang w:val="en-US" w:eastAsia="zh-CN"/>
        </w:rPr>
        <w:t>本计划适用于为本项目提供服务的所有乙方（肇庆市天鹰生物科技有限公司）人员、供应商及合作伙伴。安全管理对象涵盖本项目所涉及的所有信息系统资产，包括但不限于：应用程序、服务器、网络设备、终端、数据（含客户CRM数据、员工个人信息、财务数据等）</w:t>
      </w:r>
      <w:r>
        <w:rPr>
          <w:rFonts w:hint="eastAsia"/>
          <w:lang w:val="en-US" w:eastAsia="zh-CN"/>
        </w:rPr>
        <w:t>和</w:t>
      </w:r>
      <w:r>
        <w:rPr>
          <w:rFonts w:hint="default"/>
          <w:lang w:val="en-US" w:eastAsia="zh-CN"/>
        </w:rPr>
        <w:t>技术文档及管理流程。</w:t>
      </w:r>
    </w:p>
    <w:p>
      <w:pPr>
        <w:pStyle w:val="2"/>
        <w:bidi w:val="0"/>
        <w:rPr>
          <w:rFonts w:hint="default"/>
          <w:lang w:val="en-US" w:eastAsia="zh-CN"/>
        </w:rPr>
      </w:pPr>
      <w:bookmarkStart w:id="6" w:name="_Toc13587"/>
      <w:r>
        <w:rPr>
          <w:rFonts w:hint="default"/>
          <w:lang w:val="en-US" w:eastAsia="zh-CN"/>
        </w:rPr>
        <w:t>依据</w:t>
      </w:r>
      <w:bookmarkEnd w:id="6"/>
    </w:p>
    <w:p>
      <w:pPr>
        <w:pStyle w:val="a1"/>
        <w:numPr>
          <w:ilvl w:val="0"/>
          <w:numId w:val="2"/>
        </w:numPr>
        <w:ind w:left="425" w:hanging="425" w:leftChars="0" w:firstLineChars="0"/>
        <w:rPr>
          <w:rFonts w:hint="default"/>
          <w:lang w:val="en-US" w:eastAsia="zh-CN"/>
        </w:rPr>
      </w:pPr>
      <w:r>
        <w:rPr>
          <w:rFonts w:hint="default"/>
          <w:lang w:val="en-US" w:eastAsia="zh-CN"/>
        </w:rPr>
        <w:t>国家标准《信息安全技术 网络安全等级保护基本要求》（GB/T 22239-2019）等相关标准</w:t>
      </w:r>
    </w:p>
    <w:p>
      <w:pPr>
        <w:pStyle w:val="a1"/>
        <w:numPr>
          <w:ilvl w:val="0"/>
          <w:numId w:val="2"/>
        </w:numPr>
        <w:ind w:left="425" w:hanging="425" w:leftChars="0" w:firstLineChars="0"/>
        <w:rPr>
          <w:rFonts w:hint="default"/>
          <w:lang w:val="en-US" w:eastAsia="zh-CN"/>
        </w:rPr>
      </w:pPr>
      <w:r>
        <w:rPr>
          <w:rFonts w:hint="eastAsia"/>
          <w:lang w:val="en-US" w:eastAsia="zh-CN"/>
        </w:rPr>
        <w:t>《信息安全管理制度》</w:t>
      </w:r>
    </w:p>
    <w:p>
      <w:pPr>
        <w:pStyle w:val="a1"/>
        <w:numPr>
          <w:ilvl w:val="0"/>
          <w:numId w:val="2"/>
        </w:numPr>
        <w:ind w:left="425" w:hanging="425" w:leftChars="0" w:firstLineChars="0"/>
        <w:rPr>
          <w:rFonts w:hint="default"/>
          <w:lang w:val="en-US" w:eastAsia="zh-CN"/>
        </w:rPr>
      </w:pPr>
      <w:r>
        <w:rPr>
          <w:rFonts w:hint="default"/>
          <w:lang w:val="en-US" w:eastAsia="zh-CN"/>
        </w:rPr>
        <w:t>合同中关于服务质量、数据保密及运维服务的要求</w:t>
      </w:r>
    </w:p>
    <w:p>
      <w:pPr>
        <w:pStyle w:val="a1"/>
        <w:numPr>
          <w:ilvl w:val="0"/>
          <w:numId w:val="2"/>
        </w:numPr>
        <w:ind w:left="425" w:hanging="425" w:leftChars="0" w:firstLineChars="0"/>
        <w:rPr>
          <w:rFonts w:hint="default"/>
          <w:lang w:val="en-US" w:eastAsia="zh-CN"/>
        </w:rPr>
      </w:pPr>
      <w:r>
        <w:rPr>
          <w:rFonts w:hint="default"/>
          <w:lang w:val="en-US" w:eastAsia="zh-CN"/>
        </w:rPr>
        <w:t>公司内部《信息安全管理程序》及相关政策</w:t>
      </w:r>
    </w:p>
    <w:p>
      <w:pPr>
        <w:pStyle w:val="1"/>
        <w:bidi w:val="0"/>
        <w:rPr>
          <w:rFonts w:hint="default"/>
          <w:lang w:val="en-US" w:eastAsia="zh-CN"/>
        </w:rPr>
      </w:pPr>
      <w:bookmarkStart w:id="7" w:name="_Toc14009"/>
      <w:r>
        <w:rPr>
          <w:rFonts w:hint="default"/>
          <w:lang w:val="en-US" w:eastAsia="zh-CN"/>
        </w:rPr>
        <w:t>安全管理目标</w:t>
      </w:r>
      <w:bookmarkEnd w:id="7"/>
    </w:p>
    <w:p>
      <w:pPr>
        <w:pStyle w:val="a1"/>
        <w:rPr>
          <w:rFonts w:hint="default"/>
          <w:lang w:val="en-US" w:eastAsia="zh-CN"/>
        </w:rPr>
      </w:pPr>
      <w:r>
        <w:rPr>
          <w:rFonts w:hint="default"/>
          <w:lang w:val="en-US" w:eastAsia="zh-CN"/>
        </w:rPr>
        <w:t>保密性：确保项目数据（尤其是客户信息、员工个人敏感信息、财务数据）仅在授权范围内访问。</w:t>
      </w:r>
    </w:p>
    <w:p>
      <w:pPr>
        <w:pStyle w:val="a1"/>
        <w:rPr>
          <w:rFonts w:hint="default"/>
          <w:lang w:val="en-US" w:eastAsia="zh-CN"/>
        </w:rPr>
      </w:pPr>
      <w:r>
        <w:rPr>
          <w:rFonts w:hint="default"/>
          <w:lang w:val="en-US" w:eastAsia="zh-CN"/>
        </w:rPr>
        <w:t>完整性：保障项目数据、系统配置及业务逻辑的准确与完整，防止未授权篡改。</w:t>
      </w:r>
    </w:p>
    <w:p>
      <w:pPr>
        <w:pStyle w:val="a1"/>
        <w:rPr>
          <w:rFonts w:hint="default"/>
          <w:lang w:val="en-US" w:eastAsia="zh-CN"/>
        </w:rPr>
      </w:pPr>
      <w:r>
        <w:rPr>
          <w:rFonts w:hint="default"/>
          <w:lang w:val="en-US" w:eastAsia="zh-CN"/>
        </w:rPr>
        <w:t>可用性：保障系统在合同约定的服务级别协议（SLA）内（7x24小时）持续稳定运行，故障恢复时间符合合同承诺（48小时内）。</w:t>
      </w:r>
    </w:p>
    <w:p>
      <w:pPr>
        <w:pStyle w:val="a1"/>
        <w:rPr>
          <w:rFonts w:hint="default"/>
          <w:lang w:val="en-US" w:eastAsia="zh-CN"/>
        </w:rPr>
      </w:pPr>
      <w:r>
        <w:rPr>
          <w:rFonts w:hint="default"/>
          <w:lang w:val="en-US" w:eastAsia="zh-CN"/>
        </w:rPr>
        <w:t>可审计性：所有关键操作和安全事件均有完整、不可抵赖的记录，满足合规审计与故障追溯要求。</w:t>
      </w:r>
    </w:p>
    <w:p>
      <w:pPr>
        <w:pStyle w:val="a1"/>
        <w:rPr>
          <w:rFonts w:hint="default"/>
          <w:lang w:val="en-US" w:eastAsia="zh-CN"/>
        </w:rPr>
      </w:pPr>
      <w:r>
        <w:rPr>
          <w:rFonts w:hint="default"/>
          <w:lang w:val="en-US" w:eastAsia="zh-CN"/>
        </w:rPr>
        <w:t>合规性：满足信创（信息技术应用创新）国产化适配的安全要求及国家相关法律法规。</w:t>
      </w:r>
    </w:p>
    <w:p>
      <w:pPr>
        <w:pStyle w:val="1"/>
        <w:bidi w:val="0"/>
        <w:rPr>
          <w:rFonts w:hint="default"/>
          <w:lang w:val="en-US" w:eastAsia="zh-CN"/>
        </w:rPr>
      </w:pPr>
      <w:bookmarkStart w:id="8" w:name="_Toc29925"/>
      <w:r>
        <w:rPr>
          <w:rFonts w:hint="default"/>
          <w:lang w:val="en-US" w:eastAsia="zh-CN"/>
        </w:rPr>
        <w:t>组织与职责</w:t>
      </w:r>
      <w:bookmarkEnd w:id="8"/>
    </w:p>
    <w:p>
      <w:pPr>
        <w:pStyle w:val="2"/>
        <w:bidi w:val="0"/>
        <w:rPr>
          <w:rFonts w:hint="default"/>
          <w:lang w:val="en-US" w:eastAsia="zh-CN"/>
        </w:rPr>
      </w:pPr>
      <w:bookmarkStart w:id="9" w:name="_Toc27574"/>
      <w:r>
        <w:rPr>
          <w:rFonts w:hint="default"/>
          <w:lang w:val="en-US" w:eastAsia="zh-CN"/>
        </w:rPr>
        <w:t>信息安全领导小组</w:t>
      </w:r>
      <w:bookmarkEnd w:id="9"/>
    </w:p>
    <w:p>
      <w:pPr>
        <w:pStyle w:val="a1"/>
        <w:rPr>
          <w:rFonts w:hint="default"/>
          <w:lang w:val="en-US" w:eastAsia="zh-CN"/>
        </w:rPr>
      </w:pPr>
      <w:r>
        <w:rPr>
          <w:rFonts w:hint="eastAsia"/>
          <w:lang w:val="en-US" w:eastAsia="zh-CN"/>
        </w:rPr>
        <w:t>以公司副总为组长，运维相关部门担任组员组成的信息安全小组。</w:t>
      </w:r>
    </w:p>
    <w:p>
      <w:pPr>
        <w:pStyle w:val="a1"/>
        <w:rPr>
          <w:rFonts w:hint="default"/>
          <w:lang w:val="en-US" w:eastAsia="zh-CN"/>
        </w:rPr>
      </w:pPr>
      <w:r>
        <w:rPr>
          <w:rFonts w:hint="default"/>
          <w:lang w:val="en-US" w:eastAsia="zh-CN"/>
        </w:rPr>
        <w:t>组长：公司副总经理</w:t>
      </w:r>
    </w:p>
    <w:p>
      <w:pPr>
        <w:pStyle w:val="a1"/>
        <w:rPr>
          <w:rFonts w:hint="default"/>
          <w:lang w:val="en-US" w:eastAsia="zh-CN"/>
        </w:rPr>
      </w:pPr>
      <w:r>
        <w:rPr>
          <w:rFonts w:hint="default"/>
          <w:lang w:val="en-US" w:eastAsia="zh-CN"/>
        </w:rPr>
        <w:t>成员：运维部经理、技术研发部经理、质量部经理、综合管理部经理</w:t>
      </w:r>
    </w:p>
    <w:p>
      <w:pPr>
        <w:pStyle w:val="a1"/>
        <w:rPr>
          <w:rFonts w:hint="default"/>
          <w:lang w:val="en-US" w:eastAsia="zh-CN"/>
        </w:rPr>
      </w:pPr>
      <w:r>
        <w:rPr>
          <w:rFonts w:hint="default"/>
          <w:lang w:val="en-US" w:eastAsia="zh-CN"/>
        </w:rPr>
        <w:t>职责：审批本安全计划，提供资源保障，决策重大安全事项，监督计划执行。</w:t>
      </w:r>
    </w:p>
    <w:p>
      <w:pPr>
        <w:pStyle w:val="2"/>
        <w:bidi w:val="0"/>
        <w:rPr>
          <w:rFonts w:hint="default"/>
          <w:lang w:val="en-US" w:eastAsia="zh-CN"/>
        </w:rPr>
      </w:pPr>
      <w:bookmarkStart w:id="10" w:name="_Toc17209"/>
      <w:r>
        <w:rPr>
          <w:rFonts w:hint="default"/>
          <w:lang w:val="en-US" w:eastAsia="zh-CN"/>
        </w:rPr>
        <w:t>项目实施团队安全职责</w:t>
      </w:r>
      <w:bookmarkEnd w:id="10"/>
    </w:p>
    <w:p>
      <w:pPr>
        <w:pStyle w:val="a1"/>
        <w:rPr>
          <w:rFonts w:hint="default"/>
          <w:lang w:val="en-US" w:eastAsia="zh-CN"/>
        </w:rPr>
      </w:pPr>
      <w:r>
        <w:rPr>
          <w:rFonts w:hint="default"/>
          <w:lang w:val="en-US" w:eastAsia="zh-CN"/>
        </w:rPr>
        <w:t>运维部经理/运维项目经理：作为本项目安全第一责任人，负责安全计划的落地执行、日常安全监控、应急响应协调及安全事件报告。</w:t>
      </w:r>
    </w:p>
    <w:p>
      <w:pPr>
        <w:pStyle w:val="a1"/>
        <w:rPr>
          <w:rFonts w:hint="default"/>
          <w:lang w:val="en-US" w:eastAsia="zh-CN"/>
        </w:rPr>
      </w:pPr>
      <w:r>
        <w:rPr>
          <w:rFonts w:hint="default"/>
          <w:lang w:val="en-US" w:eastAsia="zh-CN"/>
        </w:rPr>
        <w:t>技术研发部：负责系统开发安全（安全编码、漏洞管理）、上线前的安全测试。</w:t>
      </w:r>
    </w:p>
    <w:p>
      <w:pPr>
        <w:pStyle w:val="a1"/>
        <w:rPr>
          <w:rFonts w:hint="default"/>
          <w:lang w:val="en-US" w:eastAsia="zh-CN"/>
        </w:rPr>
      </w:pPr>
      <w:r>
        <w:rPr>
          <w:rFonts w:hint="default"/>
          <w:lang w:val="en-US" w:eastAsia="zh-CN"/>
        </w:rPr>
        <w:t>运维工程师：负责系统运行环境（服务器、网络、数据库）的安全配置、漏洞修复、备份恢复及安全日志监控。</w:t>
      </w:r>
    </w:p>
    <w:p>
      <w:pPr>
        <w:pStyle w:val="a1"/>
        <w:rPr>
          <w:rFonts w:hint="default"/>
          <w:lang w:val="en-US" w:eastAsia="zh-CN"/>
        </w:rPr>
      </w:pPr>
      <w:r>
        <w:rPr>
          <w:rFonts w:hint="default"/>
          <w:lang w:val="en-US" w:eastAsia="zh-CN"/>
        </w:rPr>
        <w:t>服务台专员：作为安全事件接收入口，按流程进行初步判断与上报。</w:t>
      </w:r>
    </w:p>
    <w:p>
      <w:pPr>
        <w:pStyle w:val="a1"/>
        <w:rPr>
          <w:rFonts w:hint="default"/>
          <w:lang w:val="en-US" w:eastAsia="zh-CN"/>
        </w:rPr>
      </w:pPr>
      <w:r>
        <w:rPr>
          <w:rFonts w:hint="default"/>
          <w:lang w:val="en-US" w:eastAsia="zh-CN"/>
        </w:rPr>
        <w:t>服务知识专员：负责安全管理文档、应急方案、漏洞知识的整理与归档。</w:t>
      </w:r>
    </w:p>
    <w:p>
      <w:pPr>
        <w:pStyle w:val="a1"/>
        <w:rPr>
          <w:rFonts w:hint="default"/>
          <w:lang w:val="en-US" w:eastAsia="zh-CN"/>
        </w:rPr>
      </w:pPr>
      <w:r>
        <w:rPr>
          <w:rFonts w:hint="default"/>
          <w:lang w:val="en-US" w:eastAsia="zh-CN"/>
        </w:rPr>
        <w:t>质量部：负责安全审计、检查计划执行情况，组织内部审核，监督整改闭环。</w:t>
      </w:r>
    </w:p>
    <w:p>
      <w:pPr>
        <w:pStyle w:val="1"/>
        <w:bidi w:val="0"/>
        <w:rPr>
          <w:rFonts w:hint="default"/>
          <w:lang w:val="en-US" w:eastAsia="zh-CN"/>
        </w:rPr>
      </w:pPr>
      <w:bookmarkStart w:id="11" w:name="_Toc22781"/>
      <w:r>
        <w:rPr>
          <w:rFonts w:hint="default"/>
          <w:lang w:val="en-US" w:eastAsia="zh-CN"/>
        </w:rPr>
        <w:t>安全控制措施</w:t>
      </w:r>
      <w:bookmarkEnd w:id="11"/>
    </w:p>
    <w:p>
      <w:pPr>
        <w:pStyle w:val="2"/>
        <w:bidi w:val="0"/>
        <w:rPr>
          <w:rFonts w:hint="default"/>
          <w:lang w:val="en-US" w:eastAsia="zh-CN"/>
        </w:rPr>
      </w:pPr>
      <w:bookmarkStart w:id="12" w:name="_Toc4666"/>
      <w:r>
        <w:rPr>
          <w:rFonts w:hint="default"/>
          <w:lang w:val="en-US" w:eastAsia="zh-CN"/>
        </w:rPr>
        <w:t>人员安全</w:t>
      </w:r>
      <w:bookmarkEnd w:id="12"/>
    </w:p>
    <w:p>
      <w:pPr>
        <w:pStyle w:val="a1"/>
        <w:rPr>
          <w:rFonts w:hint="default"/>
          <w:lang w:val="en-US" w:eastAsia="zh-CN"/>
        </w:rPr>
      </w:pPr>
      <w:r>
        <w:rPr>
          <w:rFonts w:hint="default"/>
          <w:lang w:val="en-US" w:eastAsia="zh-CN"/>
        </w:rPr>
        <w:t>背景审查：依据合同</w:t>
      </w:r>
      <w:r>
        <w:rPr>
          <w:rFonts w:hint="eastAsia"/>
          <w:lang w:val="en-US" w:eastAsia="zh-CN"/>
        </w:rPr>
        <w:t>条款中</w:t>
      </w:r>
      <w:r>
        <w:rPr>
          <w:rFonts w:hint="default"/>
          <w:lang w:val="en-US" w:eastAsia="zh-CN"/>
        </w:rPr>
        <w:t>人员要求，对项目核心成员进行必要的背景审查，签署保密协议。</w:t>
      </w:r>
    </w:p>
    <w:p>
      <w:pPr>
        <w:pStyle w:val="a1"/>
        <w:rPr>
          <w:rFonts w:hint="default"/>
          <w:lang w:val="en-US" w:eastAsia="zh-CN"/>
        </w:rPr>
      </w:pPr>
      <w:r>
        <w:rPr>
          <w:rFonts w:hint="default"/>
          <w:lang w:val="en-US" w:eastAsia="zh-CN"/>
        </w:rPr>
        <w:t>安全培训：所有项目成员必须接受岗前信息安全培训，内容涵盖数据保护、隐私政策、安全操作规程及应急流程，年度复训。</w:t>
      </w:r>
    </w:p>
    <w:p>
      <w:pPr>
        <w:pStyle w:val="a1"/>
        <w:rPr>
          <w:rFonts w:hint="default"/>
          <w:lang w:val="en-US" w:eastAsia="zh-CN"/>
        </w:rPr>
      </w:pPr>
      <w:r>
        <w:rPr>
          <w:rFonts w:hint="default"/>
          <w:lang w:val="en-US" w:eastAsia="zh-CN"/>
        </w:rPr>
        <w:t>权限最小化：根据岗位说明书和“系统管理”模块权限，实施严格的访问控制，确保用户仅拥有完成工作所必需的最小权限。</w:t>
      </w:r>
    </w:p>
    <w:p>
      <w:pPr>
        <w:pStyle w:val="2"/>
        <w:bidi w:val="0"/>
        <w:rPr>
          <w:rFonts w:hint="default"/>
          <w:lang w:val="en-US" w:eastAsia="zh-CN"/>
        </w:rPr>
      </w:pPr>
      <w:bookmarkStart w:id="13" w:name="_Toc18584"/>
      <w:r>
        <w:rPr>
          <w:rFonts w:hint="default"/>
          <w:lang w:val="en-US" w:eastAsia="zh-CN"/>
        </w:rPr>
        <w:t>物理与环境安全</w:t>
      </w:r>
      <w:bookmarkEnd w:id="13"/>
    </w:p>
    <w:p>
      <w:pPr>
        <w:pStyle w:val="a1"/>
        <w:rPr>
          <w:rFonts w:hint="default"/>
          <w:lang w:val="en-US" w:eastAsia="zh-CN"/>
        </w:rPr>
      </w:pPr>
      <w:r>
        <w:rPr>
          <w:rFonts w:hint="default"/>
          <w:lang w:val="en-US" w:eastAsia="zh-CN"/>
        </w:rPr>
        <w:t>数据中心访问受控，有门禁、监控录像。</w:t>
      </w:r>
    </w:p>
    <w:p>
      <w:pPr>
        <w:pStyle w:val="a1"/>
        <w:rPr>
          <w:rFonts w:hint="default"/>
          <w:lang w:val="en-US" w:eastAsia="zh-CN"/>
        </w:rPr>
      </w:pPr>
      <w:r>
        <w:rPr>
          <w:rFonts w:hint="default"/>
          <w:lang w:val="en-US" w:eastAsia="zh-CN"/>
        </w:rPr>
        <w:t>关键设备有冗余电源和温湿度控制。</w:t>
      </w:r>
    </w:p>
    <w:p>
      <w:pPr>
        <w:pStyle w:val="2"/>
        <w:bidi w:val="0"/>
        <w:rPr>
          <w:rFonts w:hint="default"/>
          <w:lang w:val="en-US" w:eastAsia="zh-CN"/>
        </w:rPr>
      </w:pPr>
      <w:bookmarkStart w:id="14" w:name="_Toc18987"/>
      <w:r>
        <w:rPr>
          <w:rFonts w:hint="default"/>
          <w:lang w:val="en-US" w:eastAsia="zh-CN"/>
        </w:rPr>
        <w:t>系统开发与获取安全</w:t>
      </w:r>
      <w:bookmarkEnd w:id="14"/>
    </w:p>
    <w:p>
      <w:pPr>
        <w:pStyle w:val="a1"/>
        <w:rPr>
          <w:rFonts w:hint="default"/>
          <w:lang w:val="en-US" w:eastAsia="zh-CN"/>
        </w:rPr>
      </w:pPr>
      <w:r>
        <w:rPr>
          <w:rFonts w:hint="default"/>
          <w:lang w:val="en-US" w:eastAsia="zh-CN"/>
        </w:rPr>
        <w:t>安全需求：将安全性作为需求分析的一部分，特别是针对CRM、员工管理、社保、财务管理等敏感模块。</w:t>
      </w:r>
    </w:p>
    <w:p>
      <w:pPr>
        <w:pStyle w:val="a1"/>
        <w:rPr>
          <w:rFonts w:hint="default"/>
          <w:lang w:val="en-US" w:eastAsia="zh-CN"/>
        </w:rPr>
      </w:pPr>
      <w:r>
        <w:rPr>
          <w:rFonts w:hint="default"/>
          <w:lang w:val="en-US" w:eastAsia="zh-CN"/>
        </w:rPr>
        <w:t>安全编码与测试：遵循安全开发规范，对代码进行安全审查。上线前进行渗透测试与漏洞扫描，修复中高危漏洞。</w:t>
      </w:r>
    </w:p>
    <w:p>
      <w:pPr>
        <w:pStyle w:val="a1"/>
        <w:rPr>
          <w:rFonts w:hint="default"/>
          <w:lang w:val="en-US" w:eastAsia="zh-CN"/>
        </w:rPr>
      </w:pPr>
      <w:r>
        <w:rPr>
          <w:rFonts w:hint="default"/>
          <w:lang w:val="en-US" w:eastAsia="zh-CN"/>
        </w:rPr>
        <w:t>信创适配安全：根据合同</w:t>
      </w:r>
      <w:r>
        <w:rPr>
          <w:rFonts w:hint="eastAsia"/>
          <w:lang w:val="en-US" w:eastAsia="zh-CN"/>
        </w:rPr>
        <w:t>条款要求</w:t>
      </w:r>
      <w:r>
        <w:rPr>
          <w:rFonts w:hint="default"/>
          <w:lang w:val="en-US" w:eastAsia="zh-CN"/>
        </w:rPr>
        <w:t>，若需进行国产化适配，所选用的国产基础软硬件（CPU、OS、数据库等）需通过安全认证，并进行专项安全兼容性测试。</w:t>
      </w:r>
    </w:p>
    <w:p>
      <w:pPr>
        <w:pStyle w:val="2"/>
        <w:bidi w:val="0"/>
        <w:rPr>
          <w:rFonts w:hint="default"/>
          <w:lang w:val="en-US" w:eastAsia="zh-CN"/>
        </w:rPr>
      </w:pPr>
      <w:bookmarkStart w:id="15" w:name="_Toc13976"/>
      <w:r>
        <w:rPr>
          <w:rFonts w:hint="default"/>
          <w:lang w:val="en-US" w:eastAsia="zh-CN"/>
        </w:rPr>
        <w:t>系统运维与访问控制</w:t>
      </w:r>
      <w:bookmarkEnd w:id="15"/>
    </w:p>
    <w:p>
      <w:pPr>
        <w:pStyle w:val="a1"/>
        <w:rPr>
          <w:rFonts w:hint="default"/>
          <w:lang w:val="en-US" w:eastAsia="zh-CN"/>
        </w:rPr>
      </w:pPr>
      <w:r>
        <w:rPr>
          <w:rFonts w:hint="default"/>
          <w:lang w:val="en-US" w:eastAsia="zh-CN"/>
        </w:rPr>
        <w:t>网络隔离：生产环境与测试/开发环境严格隔离。</w:t>
      </w:r>
    </w:p>
    <w:p>
      <w:pPr>
        <w:pStyle w:val="a1"/>
        <w:rPr>
          <w:rFonts w:hint="default"/>
          <w:lang w:val="en-US" w:eastAsia="zh-CN"/>
        </w:rPr>
      </w:pPr>
      <w:r>
        <w:rPr>
          <w:rFonts w:hint="default"/>
          <w:lang w:val="en-US" w:eastAsia="zh-CN"/>
        </w:rPr>
        <w:t>身份认证与授权：启用强密码策略，对管理后台、数据库等高权限访问启用双因素认证（2FA）。</w:t>
      </w:r>
    </w:p>
    <w:p>
      <w:pPr>
        <w:pStyle w:val="a1"/>
        <w:rPr>
          <w:rFonts w:hint="default"/>
          <w:lang w:val="en-US" w:eastAsia="zh-CN"/>
        </w:rPr>
      </w:pPr>
      <w:r>
        <w:rPr>
          <w:rFonts w:hint="default"/>
          <w:lang w:val="en-US" w:eastAsia="zh-CN"/>
        </w:rPr>
        <w:t>漏洞与补丁管理：定期（每月）对系统组件、中间件、操作系统进行漏洞扫描，在评估风险后及时安装安全补丁。</w:t>
      </w:r>
    </w:p>
    <w:p>
      <w:pPr>
        <w:pStyle w:val="a1"/>
        <w:rPr>
          <w:rFonts w:hint="default"/>
          <w:lang w:val="en-US" w:eastAsia="zh-CN"/>
        </w:rPr>
      </w:pPr>
      <w:r>
        <w:rPr>
          <w:rFonts w:hint="default"/>
          <w:lang w:val="en-US" w:eastAsia="zh-CN"/>
        </w:rPr>
        <w:t>安全监控：</w:t>
      </w:r>
      <w:r>
        <w:rPr>
          <w:rFonts w:hint="eastAsia"/>
          <w:lang w:val="en-US" w:eastAsia="zh-CN"/>
        </w:rPr>
        <w:t>根据合同条款中</w:t>
      </w:r>
      <w:r>
        <w:rPr>
          <w:rFonts w:hint="default"/>
          <w:lang w:val="en-US" w:eastAsia="zh-CN"/>
        </w:rPr>
        <w:t>“系统监控”功能</w:t>
      </w:r>
      <w:r>
        <w:rPr>
          <w:rFonts w:hint="eastAsia"/>
          <w:lang w:val="en-US" w:eastAsia="zh-CN"/>
        </w:rPr>
        <w:t>要求</w:t>
      </w:r>
      <w:r>
        <w:rPr>
          <w:rFonts w:hint="default"/>
          <w:lang w:val="en-US" w:eastAsia="zh-CN"/>
        </w:rPr>
        <w:t>，部署日志审计系统（SIEM），集中收集和分析应用、系统、安全设备日志，监控异常访问和攻击行为。</w:t>
      </w:r>
    </w:p>
    <w:p>
      <w:pPr>
        <w:pStyle w:val="a1"/>
        <w:rPr>
          <w:rFonts w:hint="default"/>
          <w:lang w:val="en-US" w:eastAsia="zh-CN"/>
        </w:rPr>
      </w:pPr>
      <w:r>
        <w:rPr>
          <w:rFonts w:hint="default"/>
          <w:lang w:val="en-US" w:eastAsia="zh-CN"/>
        </w:rPr>
        <w:t>数据安全：</w:t>
      </w:r>
    </w:p>
    <w:p>
      <w:pPr>
        <w:pStyle w:val="a1"/>
        <w:rPr>
          <w:rFonts w:hint="default"/>
          <w:lang w:val="en-US" w:eastAsia="zh-CN"/>
        </w:rPr>
      </w:pPr>
      <w:r>
        <w:rPr>
          <w:rFonts w:hint="default"/>
          <w:lang w:val="en-US" w:eastAsia="zh-CN"/>
        </w:rPr>
        <w:t>加密：敏感数据（如身份证号、银行卡号）在存储和传输过程中进行加密。</w:t>
      </w:r>
    </w:p>
    <w:p>
      <w:pPr>
        <w:pStyle w:val="a1"/>
        <w:rPr>
          <w:rFonts w:hint="default"/>
          <w:lang w:val="en-US" w:eastAsia="zh-CN"/>
        </w:rPr>
      </w:pPr>
      <w:r>
        <w:rPr>
          <w:rFonts w:hint="default"/>
          <w:lang w:val="en-US" w:eastAsia="zh-CN"/>
        </w:rPr>
        <w:t>备份与恢复：</w:t>
      </w:r>
      <w:r>
        <w:rPr>
          <w:rFonts w:hint="eastAsia"/>
          <w:lang w:val="en-US" w:eastAsia="zh-CN"/>
        </w:rPr>
        <w:t>根据合同条款</w:t>
      </w:r>
      <w:r>
        <w:rPr>
          <w:rFonts w:hint="default"/>
          <w:lang w:val="en-US" w:eastAsia="zh-CN"/>
        </w:rPr>
        <w:t>及档案管理要求，执行定期数据备份（包括数据库和文件），并定期测试恢复流程，确保备份有效性。</w:t>
      </w:r>
    </w:p>
    <w:p>
      <w:pPr>
        <w:pStyle w:val="a1"/>
        <w:rPr>
          <w:rFonts w:hint="default"/>
          <w:lang w:val="en-US" w:eastAsia="zh-CN"/>
        </w:rPr>
      </w:pPr>
      <w:r>
        <w:rPr>
          <w:rFonts w:hint="default"/>
          <w:lang w:val="en-US" w:eastAsia="zh-CN"/>
        </w:rPr>
        <w:t>数据脱敏：测试环境使用脱敏数据。</w:t>
      </w:r>
    </w:p>
    <w:p>
      <w:pPr>
        <w:pStyle w:val="1"/>
        <w:bidi w:val="0"/>
        <w:rPr>
          <w:rFonts w:hint="default"/>
          <w:lang w:val="en-US" w:eastAsia="zh-CN"/>
        </w:rPr>
      </w:pPr>
      <w:bookmarkStart w:id="16" w:name="_Toc16464"/>
      <w:r>
        <w:rPr>
          <w:rFonts w:hint="default"/>
          <w:lang w:val="en-US" w:eastAsia="zh-CN"/>
        </w:rPr>
        <w:t>安全事件管理与应急响应</w:t>
      </w:r>
      <w:bookmarkEnd w:id="16"/>
    </w:p>
    <w:p>
      <w:pPr>
        <w:pStyle w:val="2"/>
        <w:bidi w:val="0"/>
        <w:rPr>
          <w:rFonts w:hint="default"/>
          <w:lang w:val="en-US" w:eastAsia="zh-CN"/>
        </w:rPr>
      </w:pPr>
      <w:bookmarkStart w:id="17" w:name="_Toc3806"/>
      <w:r>
        <w:rPr>
          <w:rFonts w:hint="default"/>
          <w:lang w:val="en-US" w:eastAsia="zh-CN"/>
        </w:rPr>
        <w:t>定义与分类</w:t>
      </w:r>
      <w:bookmarkEnd w:id="17"/>
    </w:p>
    <w:p>
      <w:pPr>
        <w:pStyle w:val="a1"/>
        <w:rPr>
          <w:rFonts w:hint="default"/>
          <w:lang w:val="en-US" w:eastAsia="zh-CN"/>
        </w:rPr>
      </w:pPr>
      <w:r>
        <w:rPr>
          <w:rFonts w:hint="default"/>
          <w:lang w:val="en-US" w:eastAsia="zh-CN"/>
        </w:rPr>
        <w:t>明确信息安全事件分类，如：数据泄露、恶意软件感染、拒绝服务攻击、越权访问等。</w:t>
      </w:r>
    </w:p>
    <w:p>
      <w:pPr>
        <w:pStyle w:val="2"/>
        <w:bidi w:val="0"/>
        <w:rPr>
          <w:rFonts w:hint="default"/>
          <w:lang w:val="en-US" w:eastAsia="zh-CN"/>
        </w:rPr>
      </w:pPr>
      <w:bookmarkStart w:id="18" w:name="_Toc5637"/>
      <w:r>
        <w:rPr>
          <w:rFonts w:hint="default"/>
          <w:lang w:val="en-US" w:eastAsia="zh-CN"/>
        </w:rPr>
        <w:t>响应流程</w:t>
      </w:r>
      <w:bookmarkEnd w:id="18"/>
    </w:p>
    <w:p>
      <w:pPr>
        <w:pStyle w:val="a1"/>
        <w:rPr>
          <w:rFonts w:hint="default"/>
          <w:lang w:val="en-US" w:eastAsia="zh-CN"/>
        </w:rPr>
      </w:pPr>
      <w:r>
        <w:rPr>
          <w:rFonts w:hint="default"/>
          <w:lang w:val="en-US" w:eastAsia="zh-CN"/>
        </w:rPr>
        <w:t>报告：任何人员发现安全事件，须立即通过服务台报告。</w:t>
      </w:r>
    </w:p>
    <w:p>
      <w:pPr>
        <w:pStyle w:val="a1"/>
        <w:rPr>
          <w:rFonts w:hint="default"/>
          <w:lang w:val="en-US" w:eastAsia="zh-CN"/>
        </w:rPr>
      </w:pPr>
      <w:r>
        <w:rPr>
          <w:rFonts w:hint="default"/>
          <w:lang w:val="en-US" w:eastAsia="zh-CN"/>
        </w:rPr>
        <w:t>初步处置：运维部经理根据应急预案，协调技术团队进行遏制（如隔离系统、禁用账户）。</w:t>
      </w:r>
    </w:p>
    <w:p>
      <w:pPr>
        <w:pStyle w:val="a1"/>
        <w:rPr>
          <w:rFonts w:hint="default"/>
          <w:lang w:val="en-US" w:eastAsia="zh-CN"/>
        </w:rPr>
      </w:pPr>
      <w:r>
        <w:rPr>
          <w:rFonts w:hint="default"/>
          <w:lang w:val="en-US" w:eastAsia="zh-CN"/>
        </w:rPr>
        <w:t>调查与根除：查明原因，清除威胁（如删除恶意软件、修补漏洞）。</w:t>
      </w:r>
    </w:p>
    <w:p>
      <w:pPr>
        <w:pStyle w:val="a1"/>
        <w:rPr>
          <w:rFonts w:hint="default"/>
          <w:lang w:val="en-US" w:eastAsia="zh-CN"/>
        </w:rPr>
      </w:pPr>
      <w:r>
        <w:rPr>
          <w:rFonts w:hint="default"/>
          <w:lang w:val="en-US" w:eastAsia="zh-CN"/>
        </w:rPr>
        <w:t>恢复：从已验证的备份中恢复受影响的系统与数据。</w:t>
      </w:r>
    </w:p>
    <w:p>
      <w:pPr>
        <w:pStyle w:val="a1"/>
        <w:rPr>
          <w:rFonts w:hint="default"/>
          <w:lang w:val="en-US" w:eastAsia="zh-CN"/>
        </w:rPr>
      </w:pPr>
      <w:r>
        <w:rPr>
          <w:rFonts w:hint="default"/>
          <w:lang w:val="en-US" w:eastAsia="zh-CN"/>
        </w:rPr>
        <w:t>报告与改进：编写事件报告，报质量部备案。进行根本原因分析（RCA），更新安全控制措施和应急预案。</w:t>
      </w:r>
    </w:p>
    <w:p>
      <w:pPr>
        <w:pStyle w:val="a1"/>
        <w:rPr>
          <w:rFonts w:hint="default"/>
          <w:lang w:val="en-US" w:eastAsia="zh-CN"/>
        </w:rPr>
      </w:pPr>
      <w:r>
        <w:rPr>
          <w:rFonts w:hint="default"/>
          <w:lang w:val="en-US" w:eastAsia="zh-CN"/>
        </w:rPr>
        <w:t>时效承诺：应急响应启动时间不超过1小时，并致力于在合同约定的48小时故障排除时限内解决安全类故障。</w:t>
      </w:r>
    </w:p>
    <w:p>
      <w:pPr>
        <w:pStyle w:val="1"/>
        <w:bidi w:val="0"/>
        <w:rPr>
          <w:rFonts w:hint="default"/>
          <w:lang w:val="en-US" w:eastAsia="zh-CN"/>
        </w:rPr>
      </w:pPr>
      <w:bookmarkStart w:id="19" w:name="_Toc17993"/>
      <w:r>
        <w:rPr>
          <w:rFonts w:hint="default"/>
          <w:lang w:val="en-US" w:eastAsia="zh-CN"/>
        </w:rPr>
        <w:t>合规性与审计</w:t>
      </w:r>
      <w:bookmarkEnd w:id="19"/>
    </w:p>
    <w:p>
      <w:pPr>
        <w:pStyle w:val="2"/>
        <w:bidi w:val="0"/>
        <w:rPr>
          <w:rFonts w:hint="default"/>
          <w:lang w:val="en-US" w:eastAsia="zh-CN"/>
        </w:rPr>
      </w:pPr>
      <w:bookmarkStart w:id="20" w:name="_Toc18878"/>
      <w:r>
        <w:rPr>
          <w:rFonts w:hint="default"/>
          <w:lang w:val="en-US" w:eastAsia="zh-CN"/>
        </w:rPr>
        <w:t>合规性检查</w:t>
      </w:r>
      <w:bookmarkEnd w:id="20"/>
    </w:p>
    <w:p>
      <w:pPr>
        <w:pStyle w:val="a1"/>
        <w:rPr>
          <w:rFonts w:hint="default"/>
          <w:lang w:val="en-US" w:eastAsia="zh-CN"/>
        </w:rPr>
      </w:pPr>
      <w:r>
        <w:rPr>
          <w:rFonts w:hint="default"/>
          <w:lang w:val="en-US" w:eastAsia="zh-CN"/>
        </w:rPr>
        <w:t>定期检查系统操作是否符合《个人信息保护法》关于个人信息处理的规定。</w:t>
      </w:r>
    </w:p>
    <w:p>
      <w:pPr>
        <w:pStyle w:val="a1"/>
        <w:rPr>
          <w:rFonts w:hint="default"/>
          <w:lang w:val="en-US" w:eastAsia="zh-CN"/>
        </w:rPr>
      </w:pPr>
      <w:r>
        <w:rPr>
          <w:rFonts w:hint="default"/>
          <w:lang w:val="en-US" w:eastAsia="zh-CN"/>
        </w:rPr>
        <w:t>确保系统功能变更不违反安全与隐私政策。</w:t>
      </w:r>
    </w:p>
    <w:p>
      <w:pPr>
        <w:pStyle w:val="2"/>
        <w:bidi w:val="0"/>
        <w:rPr>
          <w:rFonts w:hint="default"/>
          <w:lang w:val="en-US" w:eastAsia="zh-CN"/>
        </w:rPr>
      </w:pPr>
      <w:bookmarkStart w:id="21" w:name="_Toc4688"/>
      <w:r>
        <w:rPr>
          <w:rFonts w:hint="default"/>
          <w:lang w:val="en-US" w:eastAsia="zh-CN"/>
        </w:rPr>
        <w:t>审计</w:t>
      </w:r>
      <w:bookmarkEnd w:id="21"/>
    </w:p>
    <w:p>
      <w:pPr>
        <w:pStyle w:val="a1"/>
        <w:rPr>
          <w:rFonts w:hint="default"/>
          <w:lang w:val="en-US" w:eastAsia="zh-CN"/>
        </w:rPr>
      </w:pPr>
      <w:r>
        <w:rPr>
          <w:rFonts w:hint="default"/>
          <w:lang w:val="en-US" w:eastAsia="zh-CN"/>
        </w:rPr>
        <w:t>质量部每季度对项目安全控制措施的执行情况进行一次内部审计，检查范围包括：权限分配、日志审计、备份恢复测试记录、漏洞修复状态等。</w:t>
      </w:r>
    </w:p>
    <w:p>
      <w:pPr>
        <w:pStyle w:val="a1"/>
        <w:rPr>
          <w:rFonts w:hint="default"/>
          <w:lang w:val="en-US" w:eastAsia="zh-CN"/>
        </w:rPr>
      </w:pPr>
      <w:r>
        <w:rPr>
          <w:rFonts w:hint="default"/>
          <w:lang w:val="en-US" w:eastAsia="zh-CN"/>
        </w:rPr>
        <w:t>审计结果向信息安全领导小组汇报，并跟踪整改直至闭环。</w:t>
      </w:r>
    </w:p>
    <w:p>
      <w:pPr>
        <w:pStyle w:val="1"/>
        <w:bidi w:val="0"/>
        <w:rPr>
          <w:rFonts w:hint="default"/>
          <w:lang w:val="en-US" w:eastAsia="zh-CN"/>
        </w:rPr>
      </w:pPr>
      <w:bookmarkStart w:id="22" w:name="_Toc20668"/>
      <w:r>
        <w:rPr>
          <w:rFonts w:hint="default"/>
          <w:lang w:val="en-US" w:eastAsia="zh-CN"/>
        </w:rPr>
        <w:t>计划评审与更新</w:t>
      </w:r>
      <w:bookmarkEnd w:id="22"/>
    </w:p>
    <w:p>
      <w:pPr>
        <w:pStyle w:val="a1"/>
        <w:rPr>
          <w:rFonts w:hint="default"/>
          <w:lang w:val="en-US" w:eastAsia="zh-CN"/>
        </w:rPr>
      </w:pPr>
      <w:r>
        <w:rPr>
          <w:rFonts w:hint="default"/>
          <w:lang w:val="en-US" w:eastAsia="zh-CN"/>
        </w:rPr>
        <w:t>本信息安全计划每年至少评审一次，或在发生重大安全事件、法律法规变更、技术架构重大调整时立即评审更新，以确保其持续适宜性、充分性和有效性。本计划的最新版本将提交甲方备案。</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CF9CB33B"/>
    <w:multiLevelType w:val="singleLevel"/>
    <w:tmpl w:val="CF9CB33B"/>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2492</Words>
  <Characters>2626</Characters>
  <Application>Microsoft Office Word</Application>
  <DocSecurity>0</DocSecurity>
  <Lines>0</Lines>
  <Paragraphs>0</Paragraphs>
  <ScaleCrop>false</ScaleCrop>
  <Company/>
  <LinksUpToDate>false</LinksUpToDate>
  <CharactersWithSpaces>2714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2026-03-20T14:18:47Z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