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6149"/>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5227"/>
      <w:r>
        <w:rPr>
          <w:rFonts w:hint="eastAsia"/>
          <w:lang w:val="en-US" w:eastAsia="zh-CN"/>
        </w:rPr>
        <w:t>西安国豪生物科技有限公司生物工程技术研发试验分析系统运维服务项目-信息安全管理报告</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15</w:t>
      </w:r>
      <w:bookmarkStart w:id="2" w:name="_GoBack"/>
      <w:bookmarkEnd w:id="2"/>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2025.12.30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2025.12.30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吴智锋</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2025.12.30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2025.1</w:t>
            </w:r>
            <w:r>
              <w:rPr>
                <w:rFonts w:ascii="宋体" w:hAnsi="宋体" w:cs="宋体" w:hint="eastAsia"/>
                <w:spacing w:val="3"/>
                <w:position w:val="1"/>
                <w:sz w:val="20"/>
                <w:szCs w:val="20"/>
                <w:lang w:val="en-US" w:eastAsia="zh-CN"/>
              </w:rPr>
              <w:t>2</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30</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_Toc6149 </w:instrText>
          </w:r>
          <w:r>
            <w:rPr>
              <w:rFonts w:ascii="宋体" w:eastAsia="宋体" w:hAnsi="宋体" w:cs="宋体" w:hint="eastAsia"/>
              <w:szCs w:val="24"/>
            </w:rPr>
            <w:fldChar w:fldCharType="separate"/>
          </w:r>
          <w:r>
            <w:rPr>
              <w:rFonts w:hint="eastAsia"/>
              <w:lang w:val="en-US" w:eastAsia="zh-CN"/>
            </w:rPr>
            <w:t>肇庆市天鹰生物科技有限公司</w:t>
          </w:r>
          <w:r>
            <w:tab/>
          </w:r>
          <w:r>
            <w:fldChar w:fldCharType="begin"/>
          </w:r>
          <w:r>
            <w:instrText xml:space="preserve"> PAGEREF _Toc6149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_Toc15227 </w:instrText>
          </w:r>
          <w:r>
            <w:rPr>
              <w:rFonts w:ascii="宋体" w:eastAsia="宋体" w:hAnsi="宋体" w:cs="宋体" w:hint="eastAsia"/>
              <w:szCs w:val="24"/>
            </w:rPr>
            <w:fldChar w:fldCharType="separate"/>
          </w:r>
          <w:r>
            <w:rPr>
              <w:rFonts w:hint="eastAsia"/>
              <w:lang w:val="en-US" w:eastAsia="zh-CN"/>
            </w:rPr>
            <w:t>西安国豪生物科技有限公司生物工程技术研发试验分析系统运维服务项目-信息安全管理报告</w:t>
          </w:r>
          <w:r>
            <w:tab/>
          </w:r>
          <w:r>
            <w:fldChar w:fldCharType="begin"/>
          </w:r>
          <w:r>
            <w:instrText xml:space="preserve"> PAGEREF _Toc15227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_Toc24547 </w:instrText>
          </w:r>
          <w:r>
            <w:rPr>
              <w:rFonts w:ascii="宋体" w:eastAsia="宋体" w:hAnsi="宋体" w:cs="宋体" w:hint="eastAsia"/>
              <w:szCs w:val="24"/>
            </w:rPr>
            <w:fldChar w:fldCharType="separate"/>
          </w:r>
          <w:r>
            <w:rPr>
              <w:rFonts w:hint="default"/>
              <w:lang w:val="en-US" w:eastAsia="zh-CN"/>
            </w:rPr>
            <w:t>1. 执行情况概述</w:t>
          </w:r>
          <w:r>
            <w:tab/>
          </w:r>
          <w:r>
            <w:fldChar w:fldCharType="begin"/>
          </w:r>
          <w:r>
            <w:instrText xml:space="preserve"> PAGEREF _Toc24547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_Toc30910 </w:instrText>
          </w:r>
          <w:r>
            <w:rPr>
              <w:rFonts w:ascii="宋体" w:eastAsia="宋体" w:hAnsi="宋体" w:cs="宋体" w:hint="eastAsia"/>
              <w:szCs w:val="24"/>
            </w:rPr>
            <w:fldChar w:fldCharType="separate"/>
          </w:r>
          <w:r>
            <w:rPr>
              <w:rFonts w:hint="default"/>
              <w:lang w:val="en-US" w:eastAsia="zh-CN"/>
            </w:rPr>
            <w:t>2. 主要安全管理活动完成情况</w:t>
          </w:r>
          <w:r>
            <w:tab/>
          </w:r>
          <w:r>
            <w:fldChar w:fldCharType="begin"/>
          </w:r>
          <w:r>
            <w:instrText xml:space="preserve"> PAGEREF _Toc30910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_Toc17573 </w:instrText>
          </w:r>
          <w:r>
            <w:rPr>
              <w:rFonts w:ascii="宋体" w:eastAsia="宋体" w:hAnsi="宋体" w:cs="宋体" w:hint="eastAsia"/>
              <w:szCs w:val="24"/>
            </w:rPr>
            <w:fldChar w:fldCharType="separate"/>
          </w:r>
          <w:r>
            <w:rPr>
              <w:rFonts w:hint="default"/>
              <w:lang w:val="en-US" w:eastAsia="zh-CN"/>
            </w:rPr>
            <w:t>3. 安全事件统计与分析</w:t>
          </w:r>
          <w:r>
            <w:tab/>
          </w:r>
          <w:r>
            <w:fldChar w:fldCharType="begin"/>
          </w:r>
          <w:r>
            <w:instrText xml:space="preserve"> PAGEREF _Toc17573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_Toc25463 </w:instrText>
          </w:r>
          <w:r>
            <w:rPr>
              <w:rFonts w:ascii="宋体" w:eastAsia="宋体" w:hAnsi="宋体" w:cs="宋体" w:hint="eastAsia"/>
              <w:szCs w:val="24"/>
            </w:rPr>
            <w:fldChar w:fldCharType="separate"/>
          </w:r>
          <w:r>
            <w:rPr>
              <w:rFonts w:hint="default"/>
              <w:lang w:val="en-US" w:eastAsia="zh-CN"/>
            </w:rPr>
            <w:t>4. 合规性与审计发现</w:t>
          </w:r>
          <w:r>
            <w:tab/>
          </w:r>
          <w:r>
            <w:fldChar w:fldCharType="begin"/>
          </w:r>
          <w:r>
            <w:instrText xml:space="preserve"> PAGEREF _Toc25463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_Toc28063 </w:instrText>
          </w:r>
          <w:r>
            <w:rPr>
              <w:rFonts w:ascii="宋体" w:eastAsia="宋体" w:hAnsi="宋体" w:cs="宋体" w:hint="eastAsia"/>
              <w:szCs w:val="24"/>
            </w:rPr>
            <w:fldChar w:fldCharType="separate"/>
          </w:r>
          <w:r>
            <w:rPr>
              <w:rFonts w:hint="default"/>
              <w:lang w:val="en-US" w:eastAsia="zh-CN"/>
            </w:rPr>
            <w:t>5. 资源投入与合同符合性</w:t>
          </w:r>
          <w:r>
            <w:tab/>
          </w:r>
          <w:r>
            <w:fldChar w:fldCharType="begin"/>
          </w:r>
          <w:r>
            <w:instrText xml:space="preserve"> PAGEREF _Toc28063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_Toc4285 </w:instrText>
          </w:r>
          <w:r>
            <w:rPr>
              <w:rFonts w:ascii="宋体" w:eastAsia="宋体" w:hAnsi="宋体" w:cs="宋体" w:hint="eastAsia"/>
              <w:szCs w:val="24"/>
            </w:rPr>
            <w:fldChar w:fldCharType="separate"/>
          </w:r>
          <w:r>
            <w:rPr>
              <w:rFonts w:hint="default"/>
              <w:lang w:val="en-US" w:eastAsia="zh-CN"/>
            </w:rPr>
            <w:t>6. 主要问题、风险与改进计划</w:t>
          </w:r>
          <w:r>
            <w:tab/>
          </w:r>
          <w:r>
            <w:fldChar w:fldCharType="begin"/>
          </w:r>
          <w:r>
            <w:instrText xml:space="preserve"> PAGEREF _Toc4285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_Toc16980 </w:instrText>
          </w:r>
          <w:r>
            <w:rPr>
              <w:rFonts w:ascii="宋体" w:eastAsia="宋体" w:hAnsi="宋体" w:cs="宋体" w:hint="eastAsia"/>
              <w:szCs w:val="24"/>
            </w:rPr>
            <w:fldChar w:fldCharType="separate"/>
          </w:r>
          <w:r>
            <w:rPr>
              <w:rFonts w:hint="default"/>
              <w:lang w:val="en-US" w:eastAsia="zh-CN"/>
            </w:rPr>
            <w:t>7. 结论与建议</w:t>
          </w:r>
          <w:r>
            <w:tab/>
          </w:r>
          <w:r>
            <w:fldChar w:fldCharType="begin"/>
          </w:r>
          <w:r>
            <w:instrText xml:space="preserve"> PAGEREF _Toc16980 \h </w:instrText>
          </w:r>
          <w:r>
            <w:fldChar w:fldCharType="separate"/>
          </w:r>
          <w:r>
            <w:t>6</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default"/>
          <w:lang w:val="en-US" w:eastAsia="zh-CN"/>
        </w:rPr>
      </w:pPr>
      <w:bookmarkStart w:id="3" w:name="_Toc24547"/>
      <w:r>
        <w:rPr>
          <w:rFonts w:hint="default"/>
          <w:lang w:val="en-US" w:eastAsia="zh-CN"/>
        </w:rPr>
        <w:t>执行情况概述</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自《信息安全管理计划》发布以来，公司信息安全领导小组及项目实施团队围绕计划目标，系统性地开展了一系列管理活动与技术控制措施。本报告期内，项目整体信息安全状况平稳可控，未发生重大信息泄露、系统瘫痪等安全事件，各项安全控制措施得到基本落实，基本满足了合同SLA及法律法规的合规性要求。本报告旨在系统梳理期内工作成果，分析存在问题，并规划下一阶段改进方向。</w:t>
      </w:r>
    </w:p>
    <w:p>
      <w:pPr>
        <w:pStyle w:val="1"/>
        <w:bidi w:val="0"/>
        <w:rPr>
          <w:rFonts w:hint="default"/>
          <w:lang w:val="en-US" w:eastAsia="zh-CN"/>
        </w:rPr>
      </w:pPr>
      <w:bookmarkStart w:id="4" w:name="_Toc30910"/>
      <w:r>
        <w:rPr>
          <w:rFonts w:hint="default"/>
          <w:lang w:val="en-US" w:eastAsia="zh-CN"/>
        </w:rPr>
        <w:t>主要安全管理活动完成情况</w:t>
      </w:r>
      <w:bookmarkEnd w:id="4"/>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1003"/>
        <w:gridCol w:w="1942"/>
        <w:gridCol w:w="4930"/>
        <w:gridCol w:w="62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1003"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管理领域</w:t>
            </w:r>
          </w:p>
        </w:tc>
        <w:tc>
          <w:tcPr>
            <w:tcW w:w="194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计划要求</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执行情况总结</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状态</w:t>
            </w:r>
          </w:p>
        </w:tc>
      </w:tr>
      <w:tr>
        <w:tblPrEx>
          <w:tblW w:w="0" w:type="auto"/>
          <w:tblInd w:w="0" w:type="dxa"/>
          <w:shd w:val="clear" w:color="auto" w:fill="auto"/>
          <w:tblCellMar>
            <w:top w:w="15" w:type="dxa"/>
            <w:left w:w="15" w:type="dxa"/>
            <w:bottom w:w="15" w:type="dxa"/>
            <w:right w:w="15" w:type="dxa"/>
          </w:tblCellMar>
        </w:tblPrEx>
        <w:tc>
          <w:tcPr>
            <w:tcW w:w="1003"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1.组织与培训</w:t>
            </w:r>
          </w:p>
        </w:tc>
        <w:tc>
          <w:tcPr>
            <w:tcW w:w="194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成立领导小组；</w:t>
            </w:r>
          </w:p>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全员安全培训与签署保密协议。</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领导小组已成立并召开季度安全会议1次。项目团队（共9人）100%完成年度信息安全意识培训并签署保密协议。</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完成</w:t>
            </w:r>
          </w:p>
        </w:tc>
      </w:tr>
      <w:tr>
        <w:tblPrEx>
          <w:tblW w:w="0" w:type="auto"/>
          <w:tblInd w:w="0" w:type="dxa"/>
          <w:shd w:val="clear" w:color="auto" w:fill="auto"/>
          <w:tblCellMar>
            <w:top w:w="15" w:type="dxa"/>
            <w:left w:w="15" w:type="dxa"/>
            <w:bottom w:w="15" w:type="dxa"/>
            <w:right w:w="15" w:type="dxa"/>
          </w:tblCellMar>
        </w:tblPrEx>
        <w:tc>
          <w:tcPr>
            <w:tcW w:w="1003"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2.系统与运维安全</w:t>
            </w:r>
          </w:p>
        </w:tc>
        <w:tc>
          <w:tcPr>
            <w:tcW w:w="194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定期漏洞扫描与修复；强化访问控制；落实安全监控与日志审计。</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共进行4次月度漏洞扫描，发现中危漏洞2个，均已修复。核心后台管理账户已启用双因素认证。SIEM系统运行正常，产生有效告警15条，均已人工核查处置。</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完成</w:t>
            </w:r>
          </w:p>
        </w:tc>
      </w:tr>
      <w:tr>
        <w:tblPrEx>
          <w:tblW w:w="0" w:type="auto"/>
          <w:tblInd w:w="0" w:type="dxa"/>
          <w:shd w:val="clear" w:color="auto" w:fill="auto"/>
          <w:tblCellMar>
            <w:top w:w="15" w:type="dxa"/>
            <w:left w:w="15" w:type="dxa"/>
            <w:bottom w:w="15" w:type="dxa"/>
            <w:right w:w="15" w:type="dxa"/>
          </w:tblCellMar>
        </w:tblPrEx>
        <w:tc>
          <w:tcPr>
            <w:tcW w:w="1003"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3.数据安全</w:t>
            </w:r>
          </w:p>
        </w:tc>
        <w:tc>
          <w:tcPr>
            <w:tcW w:w="194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敏感数据加密；</w:t>
            </w:r>
          </w:p>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定期备份与恢复测试。</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数据库敏感字段已实施加密存储。按计划完成4次全量备份与12次增量备份，并于11月成功进行一次恢复演练。测试环境数据已完全脱敏。</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完成</w:t>
            </w:r>
          </w:p>
        </w:tc>
      </w:tr>
      <w:tr>
        <w:tblPrEx>
          <w:tblW w:w="0" w:type="auto"/>
          <w:tblInd w:w="0" w:type="dxa"/>
          <w:shd w:val="clear" w:color="auto" w:fill="auto"/>
          <w:tblCellMar>
            <w:top w:w="15" w:type="dxa"/>
            <w:left w:w="15" w:type="dxa"/>
            <w:bottom w:w="15" w:type="dxa"/>
            <w:right w:w="15" w:type="dxa"/>
          </w:tblCellMar>
        </w:tblPrEx>
        <w:tc>
          <w:tcPr>
            <w:tcW w:w="1003"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4.应急响应</w:t>
            </w:r>
          </w:p>
        </w:tc>
        <w:tc>
          <w:tcPr>
            <w:tcW w:w="194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建立流程，定期演练。</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更新了《项目专项应急预案》。1</w:t>
            </w:r>
            <w:r>
              <w:rPr>
                <w:rFonts w:ascii="Segoe UI" w:eastAsia="Segoe UI" w:hAnsi="Segoe UI" w:cs="Segoe UI" w:hint="eastAsia"/>
                <w:i w:val="0"/>
                <w:iCs w:val="0"/>
                <w:caps w:val="0"/>
                <w:snapToGrid w:val="0"/>
                <w:color w:val="000000"/>
                <w:spacing w:val="0"/>
                <w:kern w:val="0"/>
                <w:sz w:val="18"/>
                <w:szCs w:val="18"/>
                <w:lang w:val="en-US" w:eastAsia="zh-CN"/>
              </w:rPr>
              <w:t>2</w:t>
            </w:r>
            <w:r>
              <w:rPr>
                <w:rFonts w:ascii="Segoe UI" w:eastAsia="Segoe UI" w:hAnsi="Segoe UI" w:cs="Segoe UI" w:hint="default"/>
                <w:i w:val="0"/>
                <w:iCs w:val="0"/>
                <w:caps w:val="0"/>
                <w:snapToGrid w:val="0"/>
                <w:color w:val="000000"/>
                <w:spacing w:val="0"/>
                <w:kern w:val="0"/>
                <w:sz w:val="18"/>
                <w:szCs w:val="18"/>
                <w:lang w:val="en-US" w:eastAsia="zh-CN"/>
              </w:rPr>
              <w:t>月份组织了一次针对“疑似数据泄露”的</w:t>
            </w:r>
            <w:r>
              <w:rPr>
                <w:rFonts w:ascii="Segoe UI" w:eastAsia="Segoe UI" w:hAnsi="Segoe UI" w:cs="Segoe UI" w:hint="eastAsia"/>
                <w:i w:val="0"/>
                <w:iCs w:val="0"/>
                <w:caps w:val="0"/>
                <w:snapToGrid w:val="0"/>
                <w:color w:val="000000"/>
                <w:spacing w:val="0"/>
                <w:kern w:val="0"/>
                <w:sz w:val="18"/>
                <w:szCs w:val="18"/>
                <w:lang w:val="en-US" w:eastAsia="zh-CN"/>
              </w:rPr>
              <w:t>实战演练</w:t>
            </w:r>
            <w:r>
              <w:rPr>
                <w:rFonts w:ascii="Segoe UI" w:eastAsia="Segoe UI" w:hAnsi="Segoe UI" w:cs="Segoe UI" w:hint="default"/>
                <w:i w:val="0"/>
                <w:iCs w:val="0"/>
                <w:caps w:val="0"/>
                <w:snapToGrid w:val="0"/>
                <w:color w:val="000000"/>
                <w:spacing w:val="0"/>
                <w:kern w:val="0"/>
                <w:sz w:val="18"/>
                <w:szCs w:val="18"/>
                <w:lang w:val="en-US" w:eastAsia="zh-CN"/>
              </w:rPr>
              <w:t>，响应流程顺畅，演练报告已归档。</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完成</w:t>
            </w:r>
          </w:p>
        </w:tc>
      </w:tr>
      <w:tr>
        <w:tblPrEx>
          <w:tblW w:w="0" w:type="auto"/>
          <w:tblInd w:w="0" w:type="dxa"/>
          <w:shd w:val="clear" w:color="auto" w:fill="auto"/>
          <w:tblCellMar>
            <w:top w:w="15" w:type="dxa"/>
            <w:left w:w="15" w:type="dxa"/>
            <w:bottom w:w="15" w:type="dxa"/>
            <w:right w:w="15" w:type="dxa"/>
          </w:tblCellMar>
        </w:tblPrEx>
        <w:tc>
          <w:tcPr>
            <w:tcW w:w="1003"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5.合规与审计</w:t>
            </w:r>
          </w:p>
        </w:tc>
        <w:tc>
          <w:tcPr>
            <w:tcW w:w="1942"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进行合规检查与内部审计。</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于9月完成一次针对《个人信息保护法》合规性的专项检查，未发现高风险不合规项。11月由质量部完成信息安全内部审计，共发现3项观察项，已制定整改计划。</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完成</w:t>
            </w:r>
          </w:p>
        </w:tc>
      </w:tr>
    </w:tbl>
    <w:p>
      <w:pPr>
        <w:pStyle w:val="1"/>
        <w:bidi w:val="0"/>
        <w:rPr>
          <w:rFonts w:hint="default"/>
          <w:lang w:val="en-US" w:eastAsia="zh-CN"/>
        </w:rPr>
      </w:pPr>
      <w:bookmarkStart w:id="5" w:name="_Toc17573"/>
      <w:r>
        <w:rPr>
          <w:rFonts w:hint="default"/>
          <w:lang w:val="en-US" w:eastAsia="zh-CN"/>
        </w:rPr>
        <w:t>安全事件统计与分析</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事件总数：本报告期内，共记录与信息安全相关的低风险事件8起。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事件分类：</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暴力破解攻击告警：5起（均由网络防护设备自动拦截）。</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异常登录尝试（异地/非常用设备）：2起（经核实为授权员工正常登录）。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误操作导致数据查询错误：1起（经服务台及时纠正，未造成数据泄露或损失）。</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事件处理：所有事件均在2小时内完成初步响应与判断，未有任何事件升级为需要通知甲方的重大安全事件。事件平均解决时间为4小时，优于合同约定的48小时故障排除目标。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根本原因分析（RCA）：针对典型的攻击告警，进行了源头IP分析和威胁情报比对，未发现针对性的高级持续威胁（APT）。</w:t>
      </w:r>
    </w:p>
    <w:p>
      <w:pPr>
        <w:pStyle w:val="1"/>
        <w:bidi w:val="0"/>
        <w:rPr>
          <w:rFonts w:hint="default"/>
          <w:lang w:val="en-US" w:eastAsia="zh-CN"/>
        </w:rPr>
      </w:pPr>
      <w:bookmarkStart w:id="6" w:name="_Toc25463"/>
      <w:r>
        <w:rPr>
          <w:rFonts w:hint="default"/>
          <w:lang w:val="en-US" w:eastAsia="zh-CN"/>
        </w:rPr>
        <w:t>合规性与审计发现</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合规性检查：专项检查确认，系统在个人信息收集、存储、使用环节均有明确告知并获得授权，基本符合《个人信息保护法》要求。在数据跨境传输方面，本项目不涉及。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内部审计发现：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观察项1：部分运维操作日志记录字段不够完整，影响深度溯源。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观察项2：个别第三方组件（开源库）版本略旧，存在潜在低危漏洞。</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观察项3：安全培训内容可针对最新社会工程学攻击案例进行更新。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整改状态：以上观察项已制定整改计划，责任人均为运维部与综合管理部，计划在2026年Q1前完成。</w:t>
      </w:r>
    </w:p>
    <w:p>
      <w:pPr>
        <w:pStyle w:val="1"/>
        <w:bidi w:val="0"/>
        <w:rPr>
          <w:rFonts w:hint="default"/>
          <w:lang w:val="en-US" w:eastAsia="zh-CN"/>
        </w:rPr>
      </w:pPr>
      <w:bookmarkStart w:id="7" w:name="_Toc28063"/>
      <w:r>
        <w:rPr>
          <w:rFonts w:hint="default"/>
          <w:lang w:val="en-US" w:eastAsia="zh-CN"/>
        </w:rPr>
        <w:t>资源投入与合同符合性</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团队稳定性：本期项目团队核心成员无变更，符合合同</w:t>
      </w:r>
      <w:r>
        <w:rPr>
          <w:rFonts w:hint="eastAsia"/>
          <w:lang w:val="en-US" w:eastAsia="zh-CN"/>
        </w:rPr>
        <w:t>条款</w:t>
      </w:r>
      <w:r>
        <w:rPr>
          <w:rFonts w:hint="default"/>
          <w:lang w:val="en-US" w:eastAsia="zh-CN"/>
        </w:rPr>
        <w:t>“人员稳定性要求”。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服务交付：7x24小时服务台与运维支持体系运行正常，所有服务请求均得到及时响应，SLA达成率为100%，满足合同基本服务要求。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信创适配：根据合同</w:t>
      </w:r>
      <w:r>
        <w:rPr>
          <w:rFonts w:hint="eastAsia"/>
          <w:lang w:val="en-US" w:eastAsia="zh-CN"/>
        </w:rPr>
        <w:t>条款</w:t>
      </w:r>
      <w:r>
        <w:rPr>
          <w:rFonts w:hint="default"/>
          <w:lang w:val="en-US" w:eastAsia="zh-CN"/>
        </w:rPr>
        <w:t>，本期甲方未提出新的国产化适配要求。我方已保持对主流信创生态的技术跟踪与预研。</w:t>
      </w:r>
    </w:p>
    <w:p>
      <w:pPr>
        <w:pStyle w:val="1"/>
        <w:bidi w:val="0"/>
        <w:rPr>
          <w:rFonts w:hint="default"/>
          <w:lang w:val="en-US" w:eastAsia="zh-CN"/>
        </w:rPr>
      </w:pPr>
      <w:bookmarkStart w:id="8" w:name="_Toc4285"/>
      <w:r>
        <w:rPr>
          <w:rFonts w:hint="default"/>
          <w:lang w:val="en-US" w:eastAsia="zh-CN"/>
        </w:rPr>
        <w:t>主要问题、风险与改进计划</w:t>
      </w:r>
      <w:bookmarkEnd w:id="8"/>
    </w:p>
    <w:p>
      <w:pPr>
        <w:rPr>
          <w:rFonts w:hint="default"/>
          <w:lang w:val="en-US" w:eastAsia="zh-CN"/>
        </w:rPr>
      </w:pPr>
      <w:r>
        <w:rPr>
          <w:rFonts w:hint="default"/>
          <w:lang w:val="en-US" w:eastAsia="zh-CN"/>
        </w:rPr>
        <w:br w:type="page"/>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440"/>
        <w:gridCol w:w="1452"/>
        <w:gridCol w:w="1886"/>
        <w:gridCol w:w="3007"/>
        <w:gridCol w:w="818"/>
        <w:gridCol w:w="89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序号</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问题/风险描述</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影响分析</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改进措施/下一步计划</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责任部门</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预计完成时间</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安全日志深度分析能力不足</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难以主动发现隐蔽的威胁和内部风险。</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调研并引入日志智能分析（UEBA）功能模块。</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2026年Q2</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第三方组件供应链安全管理待加强</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旧版本组件可能引入未知漏洞。</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建立软件物料清单（SBOM），制定第三方组件定期更新与评估流程。</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技术研发部</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2026年Q1</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安全意识培训内容需与时俱进</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员工对新型钓鱼、欺诈手段防范意识待提升。</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更新2026年度安全培训材料，增加实战化演练内容。</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综合管理部</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2026年Q1</w:t>
            </w:r>
          </w:p>
        </w:tc>
      </w:tr>
    </w:tbl>
    <w:p>
      <w:pPr>
        <w:pStyle w:val="1"/>
        <w:bidi w:val="0"/>
        <w:rPr>
          <w:rFonts w:hint="default"/>
          <w:lang w:val="en-US" w:eastAsia="zh-CN"/>
        </w:rPr>
      </w:pPr>
      <w:bookmarkStart w:id="9" w:name="_Toc16980"/>
      <w:r>
        <w:rPr>
          <w:rFonts w:hint="default"/>
          <w:lang w:val="en-US" w:eastAsia="zh-CN"/>
        </w:rPr>
        <w:t>结论与建议</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截至2025年1</w:t>
      </w:r>
      <w:r>
        <w:rPr>
          <w:rFonts w:hint="eastAsia"/>
          <w:lang w:val="en-US" w:eastAsia="zh-CN"/>
        </w:rPr>
        <w:t>2</w:t>
      </w:r>
      <w:r>
        <w:rPr>
          <w:rFonts w:hint="default"/>
          <w:lang w:val="en-US" w:eastAsia="zh-CN"/>
        </w:rPr>
        <w:t>月30日，“西安国豪生物科技有限公司生物工程技术研发试验分析系统运维服务项目”的信息安全管理体系运行有效，关键控制措施落实到位，保障了系统与数据的保密性、完整性和可用性，并满足了当前阶段的合规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建议：</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管理层继续支持在安全技术工具（如日志分析）上的必要投入。</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将第三方组件安全管理和安全意识常态化演练纳入2026年度信息安全重点工作。</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本报告应提交甲方备案，作为项目服务质量与安全承诺的履行证明之一。</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77C2EAB1"/>
    <w:multiLevelType w:val="singleLevel"/>
    <w:tmpl w:val="77C2EAB1"/>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6</Pages>
  <Words>1634</Words>
  <Characters>1739</Characters>
  <Application>Microsoft Office Word</Application>
  <DocSecurity>0</DocSecurity>
  <Lines>0</Lines>
  <Paragraphs>0</Paragraphs>
  <ScaleCrop>false</ScaleCrop>
  <Company/>
  <LinksUpToDate>false</LinksUpToDate>
  <CharactersWithSpaces>1773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2026-03-21T02:42:11Z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