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6319"/>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肇庆市天鹰生物科技有限公司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10432"/>
      <w:r>
        <w:rPr>
          <w:rFonts w:hint="eastAsia"/>
          <w:lang w:val="en-US" w:eastAsia="zh-CN"/>
        </w:rPr>
        <w:t>西安国豪生物科技有限公司生物工程技术研发试验分析系统运维服务项目-可用性和连续性管理报告</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default"/>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TYSW</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6</w:t>
      </w:r>
      <w:r>
        <w:rPr>
          <w:rFonts w:ascii="宋体" w:eastAsia="宋体" w:hAnsi="宋体" w:cs="宋体"/>
          <w:b/>
          <w:bCs/>
          <w:spacing w:val="-3"/>
          <w:sz w:val="24"/>
          <w:szCs w:val="24"/>
        </w:rPr>
        <w:t>-</w:t>
      </w:r>
      <w:r>
        <w:rPr>
          <w:rFonts w:ascii="宋体" w:hAnsi="宋体" w:cs="宋体" w:hint="eastAsia"/>
          <w:b/>
          <w:bCs/>
          <w:spacing w:val="-3"/>
          <w:sz w:val="24"/>
          <w:szCs w:val="24"/>
          <w:lang w:val="en-US" w:eastAsia="zh-CN"/>
        </w:rPr>
        <w:t>17</w:t>
      </w:r>
      <w:bookmarkStart w:id="2" w:name="_GoBack"/>
      <w:bookmarkEnd w:id="2"/>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综合管理部</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2025.12.30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2025.12.30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吴智锋</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2025.12.30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2025.1</w:t>
            </w:r>
            <w:r>
              <w:rPr>
                <w:rFonts w:ascii="宋体" w:hAnsi="宋体" w:cs="宋体" w:hint="eastAsia"/>
                <w:spacing w:val="3"/>
                <w:position w:val="1"/>
                <w:sz w:val="20"/>
                <w:szCs w:val="20"/>
                <w:lang w:val="en-US" w:eastAsia="zh-CN"/>
              </w:rPr>
              <w:t>2</w:t>
            </w:r>
            <w:r>
              <w:rPr>
                <w:rFonts w:ascii="宋体" w:eastAsia="宋体" w:hAnsi="宋体" w:cs="宋体"/>
                <w:spacing w:val="3"/>
                <w:position w:val="1"/>
                <w:sz w:val="20"/>
                <w:szCs w:val="20"/>
              </w:rPr>
              <w:t>.</w:t>
            </w:r>
            <w:r>
              <w:rPr>
                <w:rFonts w:ascii="宋体" w:hAnsi="宋体" w:cs="宋体" w:hint="eastAsia"/>
                <w:spacing w:val="3"/>
                <w:position w:val="1"/>
                <w:sz w:val="20"/>
                <w:szCs w:val="20"/>
                <w:lang w:val="en-US" w:eastAsia="zh-CN"/>
              </w:rPr>
              <w:t>30</w:t>
            </w:r>
          </w:p>
        </w:tc>
        <w:tc>
          <w:tcPr>
            <w:tcW w:w="919"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吴智锋</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_Toc26319 </w:instrText>
          </w:r>
          <w:r>
            <w:rPr>
              <w:rFonts w:ascii="宋体" w:eastAsia="宋体" w:hAnsi="宋体" w:cs="宋体" w:hint="eastAsia"/>
              <w:szCs w:val="24"/>
            </w:rPr>
            <w:fldChar w:fldCharType="separate"/>
          </w:r>
          <w:r>
            <w:rPr>
              <w:rFonts w:hint="eastAsia"/>
              <w:lang w:val="en-US" w:eastAsia="zh-CN"/>
            </w:rPr>
            <w:t>肇庆市天鹰生物科技有限公司</w:t>
          </w:r>
          <w:r>
            <w:tab/>
          </w:r>
          <w:r>
            <w:fldChar w:fldCharType="begin"/>
          </w:r>
          <w:r>
            <w:instrText xml:space="preserve"> PAGEREF _Toc26319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_Toc10432 </w:instrText>
          </w:r>
          <w:r>
            <w:rPr>
              <w:rFonts w:ascii="宋体" w:eastAsia="宋体" w:hAnsi="宋体" w:cs="宋体" w:hint="eastAsia"/>
              <w:szCs w:val="24"/>
            </w:rPr>
            <w:fldChar w:fldCharType="separate"/>
          </w:r>
          <w:r>
            <w:rPr>
              <w:rFonts w:hint="eastAsia"/>
              <w:lang w:val="en-US" w:eastAsia="zh-CN"/>
            </w:rPr>
            <w:t>西安国豪生物科技有限公司生物工程技术研发试验分析系统运维服务项目-可用性和连续性管理报告</w:t>
          </w:r>
          <w:r>
            <w:tab/>
          </w:r>
          <w:r>
            <w:fldChar w:fldCharType="begin"/>
          </w:r>
          <w:r>
            <w:instrText xml:space="preserve"> PAGEREF _Toc10432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_Toc15601 </w:instrText>
          </w:r>
          <w:r>
            <w:rPr>
              <w:rFonts w:ascii="宋体" w:eastAsia="宋体" w:hAnsi="宋体" w:cs="宋体" w:hint="eastAsia"/>
              <w:szCs w:val="24"/>
            </w:rPr>
            <w:fldChar w:fldCharType="separate"/>
          </w:r>
          <w:r>
            <w:rPr>
              <w:rFonts w:hint="default"/>
              <w:lang w:val="en-US" w:eastAsia="zh-CN"/>
            </w:rPr>
            <w:t>1. 管理概况</w:t>
          </w:r>
          <w:r>
            <w:tab/>
          </w:r>
          <w:r>
            <w:fldChar w:fldCharType="begin"/>
          </w:r>
          <w:r>
            <w:instrText xml:space="preserve"> PAGEREF _Toc15601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_Toc24002 </w:instrText>
          </w:r>
          <w:r>
            <w:rPr>
              <w:rFonts w:ascii="宋体" w:eastAsia="宋体" w:hAnsi="宋体" w:cs="宋体" w:hint="eastAsia"/>
              <w:szCs w:val="24"/>
            </w:rPr>
            <w:fldChar w:fldCharType="separate"/>
          </w:r>
          <w:r>
            <w:rPr>
              <w:rFonts w:hint="default"/>
              <w:lang w:val="en-US" w:eastAsia="zh-CN"/>
            </w:rPr>
            <w:t>2. 管理目标达成情况</w:t>
          </w:r>
          <w:r>
            <w:tab/>
          </w:r>
          <w:r>
            <w:fldChar w:fldCharType="begin"/>
          </w:r>
          <w:r>
            <w:instrText xml:space="preserve"> PAGEREF _Toc24002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_Toc24787 </w:instrText>
          </w:r>
          <w:r>
            <w:rPr>
              <w:rFonts w:ascii="宋体" w:eastAsia="宋体" w:hAnsi="宋体" w:cs="宋体" w:hint="eastAsia"/>
              <w:szCs w:val="24"/>
            </w:rPr>
            <w:fldChar w:fldCharType="separate"/>
          </w:r>
          <w:r>
            <w:rPr>
              <w:rFonts w:hint="default"/>
              <w:lang w:val="en-US" w:eastAsia="zh-CN"/>
            </w:rPr>
            <w:t>3. 关键管理活动总结</w:t>
          </w:r>
          <w:r>
            <w:tab/>
          </w:r>
          <w:r>
            <w:fldChar w:fldCharType="begin"/>
          </w:r>
          <w:r>
            <w:instrText xml:space="preserve"> PAGEREF _Toc24787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_Toc28161 </w:instrText>
          </w:r>
          <w:r>
            <w:rPr>
              <w:rFonts w:ascii="宋体" w:eastAsia="宋体" w:hAnsi="宋体" w:cs="宋体" w:hint="eastAsia"/>
              <w:szCs w:val="24"/>
            </w:rPr>
            <w:fldChar w:fldCharType="separate"/>
          </w:r>
          <w:r>
            <w:rPr>
              <w:rFonts w:hint="default"/>
              <w:lang w:val="en-US" w:eastAsia="zh-CN"/>
            </w:rPr>
            <w:t>3.1. 日常监控与预防性维护</w:t>
          </w:r>
          <w:r>
            <w:tab/>
          </w:r>
          <w:r>
            <w:fldChar w:fldCharType="begin"/>
          </w:r>
          <w:r>
            <w:instrText xml:space="preserve"> PAGEREF _Toc28161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_Toc28293 </w:instrText>
          </w:r>
          <w:r>
            <w:rPr>
              <w:rFonts w:ascii="宋体" w:eastAsia="宋体" w:hAnsi="宋体" w:cs="宋体" w:hint="eastAsia"/>
              <w:szCs w:val="24"/>
            </w:rPr>
            <w:fldChar w:fldCharType="separate"/>
          </w:r>
          <w:r>
            <w:rPr>
              <w:rFonts w:hint="default"/>
              <w:lang w:val="en-US" w:eastAsia="zh-CN"/>
            </w:rPr>
            <w:t>3.2. 事件与应急响应</w:t>
          </w:r>
          <w:r>
            <w:tab/>
          </w:r>
          <w:r>
            <w:fldChar w:fldCharType="begin"/>
          </w:r>
          <w:r>
            <w:instrText xml:space="preserve"> PAGEREF _Toc28293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_Toc29506 </w:instrText>
          </w:r>
          <w:r>
            <w:rPr>
              <w:rFonts w:ascii="宋体" w:eastAsia="宋体" w:hAnsi="宋体" w:cs="宋体" w:hint="eastAsia"/>
              <w:szCs w:val="24"/>
            </w:rPr>
            <w:fldChar w:fldCharType="separate"/>
          </w:r>
          <w:r>
            <w:rPr>
              <w:rFonts w:hint="default"/>
              <w:lang w:val="en-US" w:eastAsia="zh-CN"/>
            </w:rPr>
            <w:t>3.3. 业务连续性演练与测试</w:t>
          </w:r>
          <w:r>
            <w:tab/>
          </w:r>
          <w:r>
            <w:fldChar w:fldCharType="begin"/>
          </w:r>
          <w:r>
            <w:instrText xml:space="preserve"> PAGEREF _Toc29506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_Toc5856 </w:instrText>
          </w:r>
          <w:r>
            <w:rPr>
              <w:rFonts w:ascii="宋体" w:eastAsia="宋体" w:hAnsi="宋体" w:cs="宋体" w:hint="eastAsia"/>
              <w:szCs w:val="24"/>
            </w:rPr>
            <w:fldChar w:fldCharType="separate"/>
          </w:r>
          <w:r>
            <w:rPr>
              <w:rFonts w:hint="default"/>
              <w:lang w:val="en-US" w:eastAsia="zh-CN"/>
            </w:rPr>
            <w:t>4. 资源保障与合同符合性</w:t>
          </w:r>
          <w:r>
            <w:tab/>
          </w:r>
          <w:r>
            <w:fldChar w:fldCharType="begin"/>
          </w:r>
          <w:r>
            <w:instrText xml:space="preserve"> PAGEREF _Toc5856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_Toc2170 </w:instrText>
          </w:r>
          <w:r>
            <w:rPr>
              <w:rFonts w:ascii="宋体" w:eastAsia="宋体" w:hAnsi="宋体" w:cs="宋体" w:hint="eastAsia"/>
              <w:szCs w:val="24"/>
            </w:rPr>
            <w:fldChar w:fldCharType="separate"/>
          </w:r>
          <w:r>
            <w:rPr>
              <w:rFonts w:hint="default"/>
              <w:lang w:val="en-US" w:eastAsia="zh-CN"/>
            </w:rPr>
            <w:t>5. 审计与评审</w:t>
          </w:r>
          <w:r>
            <w:tab/>
          </w:r>
          <w:r>
            <w:fldChar w:fldCharType="begin"/>
          </w:r>
          <w:r>
            <w:instrText xml:space="preserve"> PAGEREF _Toc2170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_Toc2172 </w:instrText>
          </w:r>
          <w:r>
            <w:rPr>
              <w:rFonts w:ascii="宋体" w:eastAsia="宋体" w:hAnsi="宋体" w:cs="宋体" w:hint="eastAsia"/>
              <w:szCs w:val="24"/>
            </w:rPr>
            <w:fldChar w:fldCharType="separate"/>
          </w:r>
          <w:r>
            <w:rPr>
              <w:rFonts w:hint="default"/>
              <w:lang w:val="en-US" w:eastAsia="zh-CN"/>
            </w:rPr>
            <w:t>6. 存在的问题、风险与改进计划</w:t>
          </w:r>
          <w:r>
            <w:tab/>
          </w:r>
          <w:r>
            <w:fldChar w:fldCharType="begin"/>
          </w:r>
          <w:r>
            <w:instrText xml:space="preserve"> PAGEREF _Toc2172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_Toc2929 </w:instrText>
          </w:r>
          <w:r>
            <w:rPr>
              <w:rFonts w:ascii="宋体" w:eastAsia="宋体" w:hAnsi="宋体" w:cs="宋体" w:hint="eastAsia"/>
              <w:szCs w:val="24"/>
            </w:rPr>
            <w:fldChar w:fldCharType="separate"/>
          </w:r>
          <w:r>
            <w:rPr>
              <w:rFonts w:hint="default"/>
              <w:lang w:val="en-US" w:eastAsia="zh-CN"/>
            </w:rPr>
            <w:t>7. 结论与建议</w:t>
          </w:r>
          <w:r>
            <w:tab/>
          </w:r>
          <w:r>
            <w:fldChar w:fldCharType="begin"/>
          </w:r>
          <w:r>
            <w:instrText xml:space="preserve"> PAGEREF _Toc2929 \h </w:instrText>
          </w:r>
          <w:r>
            <w:fldChar w:fldCharType="separate"/>
          </w:r>
          <w:r>
            <w:t>6</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bidi w:val="0"/>
        <w:rPr>
          <w:rFonts w:hint="default"/>
          <w:lang w:val="en-US" w:eastAsia="zh-CN"/>
        </w:rPr>
      </w:pPr>
      <w:bookmarkStart w:id="3" w:name="_Toc15601"/>
      <w:r>
        <w:rPr>
          <w:rFonts w:hint="default"/>
          <w:lang w:val="en-US" w:eastAsia="zh-CN"/>
        </w:rPr>
        <w:t>管理概况</w:t>
      </w:r>
      <w:bookmarkEnd w:id="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截止2025年12月</w:t>
      </w:r>
      <w:r>
        <w:rPr>
          <w:rFonts w:hint="default"/>
          <w:lang w:val="en-US" w:eastAsia="zh-CN"/>
        </w:rPr>
        <w:t>，运维部严格遵循《服务可用性与连续性管理计划》，围绕“保障服务稳定、快速恢复中断、确保业务连续”三大核心目标，开展了一系列规划、监控、演练与改进活动。整体服务运行平稳，关键目标基本达成，业务连续性体系得到有效验证。本报告旨在系统总结期内工作成效，分析差距，并为下一周期管理提供输入。</w:t>
      </w:r>
    </w:p>
    <w:p>
      <w:pPr>
        <w:pStyle w:val="1"/>
        <w:bidi w:val="0"/>
        <w:rPr>
          <w:rFonts w:hint="default"/>
          <w:lang w:val="en-US" w:eastAsia="zh-CN"/>
        </w:rPr>
      </w:pPr>
      <w:bookmarkStart w:id="4" w:name="_Toc24002"/>
      <w:r>
        <w:rPr>
          <w:rFonts w:hint="default"/>
          <w:lang w:val="en-US" w:eastAsia="zh-CN"/>
        </w:rPr>
        <w:t>管理目标达成情况</w:t>
      </w:r>
      <w:bookmarkEnd w:id="4"/>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
      <w:tblGrid>
        <w:gridCol w:w="1228"/>
        <w:gridCol w:w="2139"/>
        <w:gridCol w:w="3912"/>
        <w:gridCol w:w="1219"/>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Ex>
        <w:trPr>
          <w:tblHeader/>
        </w:trPr>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管理目标</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计划指标</w:t>
            </w:r>
          </w:p>
        </w:tc>
        <w:tc>
          <w:tcPr>
            <w:tcW w:w="3912"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报告期实际达成情况</w:t>
            </w:r>
          </w:p>
        </w:tc>
        <w:tc>
          <w:tcPr>
            <w:tcW w:w="1219"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评估结论</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可用性目标</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核心业务月度可用</w:t>
            </w:r>
            <w:r>
              <w:rPr>
                <w:rFonts w:ascii="Segoe UI" w:eastAsia="Segoe UI" w:hAnsi="Segoe UI" w:cs="Segoe UI" w:hint="eastAsia"/>
                <w:i w:val="0"/>
                <w:iCs w:val="0"/>
                <w:caps w:val="0"/>
                <w:snapToGrid w:val="0"/>
                <w:color w:val="000000"/>
                <w:spacing w:val="0"/>
                <w:kern w:val="0"/>
                <w:sz w:val="18"/>
                <w:szCs w:val="18"/>
                <w:lang w:val="en-US" w:eastAsia="zh-CN"/>
              </w:rPr>
              <w:t>率</w:t>
            </w:r>
            <w:r>
              <w:rPr>
                <w:rFonts w:ascii="Segoe UI" w:eastAsia="Segoe UI" w:hAnsi="Segoe UI" w:cs="Segoe UI" w:hint="default"/>
                <w:i w:val="0"/>
                <w:iCs w:val="0"/>
                <w:caps w:val="0"/>
                <w:snapToGrid w:val="0"/>
                <w:color w:val="000000"/>
                <w:spacing w:val="0"/>
                <w:kern w:val="0"/>
                <w:sz w:val="18"/>
                <w:szCs w:val="18"/>
                <w:lang w:val="en-US" w:eastAsia="zh-CN"/>
              </w:rPr>
              <w:t>≥ 99%</w:t>
            </w:r>
          </w:p>
        </w:tc>
        <w:tc>
          <w:tcPr>
            <w:tcW w:w="3912"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统计期内，核心业务（CRM、员工、结算、财务模块）平均月度可用率为</w:t>
            </w:r>
            <w:r>
              <w:rPr>
                <w:rFonts w:ascii="Segoe UI" w:eastAsia="Segoe UI" w:hAnsi="Segoe UI" w:cs="Segoe UI" w:hint="eastAsia"/>
                <w:i w:val="0"/>
                <w:iCs w:val="0"/>
                <w:caps w:val="0"/>
                <w:snapToGrid w:val="0"/>
                <w:color w:val="000000"/>
                <w:spacing w:val="0"/>
                <w:kern w:val="0"/>
                <w:sz w:val="18"/>
                <w:szCs w:val="18"/>
                <w:lang w:val="en-US" w:eastAsia="zh-CN"/>
              </w:rPr>
              <w:t>100</w:t>
            </w:r>
            <w:r>
              <w:rPr>
                <w:rStyle w:val="Strong"/>
                <w:rFonts w:ascii="Segoe UI" w:eastAsia="Segoe UI" w:hAnsi="Segoe UI" w:cs="Segoe UI" w:hint="default"/>
                <w:b/>
                <w:bCs/>
                <w:i w:val="0"/>
                <w:iCs w:val="0"/>
                <w:caps w:val="0"/>
                <w:snapToGrid w:val="0"/>
                <w:color w:val="000000"/>
                <w:spacing w:val="0"/>
                <w:kern w:val="0"/>
                <w:sz w:val="18"/>
                <w:szCs w:val="18"/>
                <w:lang w:val="en-US" w:eastAsia="zh-CN"/>
              </w:rPr>
              <w:t>%</w:t>
            </w:r>
            <w:r>
              <w:rPr>
                <w:rFonts w:ascii="Segoe UI" w:eastAsia="Segoe UI" w:hAnsi="Segoe UI" w:cs="Segoe UI" w:hint="default"/>
                <w:i w:val="0"/>
                <w:iCs w:val="0"/>
                <w:caps w:val="0"/>
                <w:snapToGrid w:val="0"/>
                <w:color w:val="000000"/>
                <w:spacing w:val="0"/>
                <w:kern w:val="0"/>
                <w:sz w:val="18"/>
                <w:szCs w:val="18"/>
                <w:lang w:val="en-US" w:eastAsia="zh-CN"/>
              </w:rPr>
              <w:t>。7x24小时服务访问通道持续畅通。</w:t>
            </w:r>
          </w:p>
        </w:tc>
        <w:tc>
          <w:tcPr>
            <w:tcW w:w="1219"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达标</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恢复目标 (RTO)</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重大中断后，核心业务4小时内恢复基本功能。</w:t>
            </w:r>
          </w:p>
        </w:tc>
        <w:tc>
          <w:tcPr>
            <w:tcW w:w="3912"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报告期内</w:t>
            </w:r>
            <w:r>
              <w:rPr>
                <w:rFonts w:ascii="Segoe UI" w:eastAsia="Segoe UI" w:hAnsi="Segoe UI" w:cs="Segoe UI" w:hint="eastAsia"/>
                <w:i w:val="0"/>
                <w:iCs w:val="0"/>
                <w:caps w:val="0"/>
                <w:snapToGrid w:val="0"/>
                <w:color w:val="000000"/>
                <w:spacing w:val="0"/>
                <w:kern w:val="0"/>
                <w:sz w:val="18"/>
                <w:szCs w:val="18"/>
                <w:lang w:val="en-US" w:eastAsia="zh-CN"/>
              </w:rPr>
              <w:t>未发生</w:t>
            </w:r>
            <w:r>
              <w:rPr>
                <w:rFonts w:ascii="Segoe UI" w:eastAsia="Segoe UI" w:hAnsi="Segoe UI" w:cs="Segoe UI" w:hint="default"/>
                <w:i w:val="0"/>
                <w:iCs w:val="0"/>
                <w:caps w:val="0"/>
                <w:snapToGrid w:val="0"/>
                <w:color w:val="000000"/>
                <w:spacing w:val="0"/>
                <w:kern w:val="0"/>
                <w:sz w:val="18"/>
                <w:szCs w:val="18"/>
                <w:lang w:val="en-US" w:eastAsia="zh-CN"/>
              </w:rPr>
              <w:t>“重大中断”。</w:t>
            </w:r>
          </w:p>
        </w:tc>
        <w:tc>
          <w:tcPr>
            <w:tcW w:w="1219"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超额达标</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恢复目标 (RPO)</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核心业务数据丢失不超过1小时。</w:t>
            </w:r>
          </w:p>
        </w:tc>
        <w:tc>
          <w:tcPr>
            <w:tcW w:w="3912"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通过“主从同步+每日增量备份”机制，实际数据损失窗口约为 </w:t>
            </w:r>
            <w:r>
              <w:rPr>
                <w:rStyle w:val="Strong"/>
                <w:rFonts w:ascii="Segoe UI" w:eastAsia="Segoe UI" w:hAnsi="Segoe UI" w:cs="Segoe UI" w:hint="default"/>
                <w:b/>
                <w:bCs/>
                <w:i w:val="0"/>
                <w:iCs w:val="0"/>
                <w:caps w:val="0"/>
                <w:snapToGrid w:val="0"/>
                <w:color w:val="000000"/>
                <w:spacing w:val="0"/>
                <w:kern w:val="0"/>
                <w:sz w:val="18"/>
                <w:szCs w:val="18"/>
                <w:lang w:val="en-US" w:eastAsia="zh-CN"/>
              </w:rPr>
              <w:t>5分钟</w:t>
            </w:r>
            <w:r>
              <w:rPr>
                <w:rFonts w:ascii="Segoe UI" w:eastAsia="Segoe UI" w:hAnsi="Segoe UI" w:cs="Segoe UI" w:hint="default"/>
                <w:i w:val="0"/>
                <w:iCs w:val="0"/>
                <w:caps w:val="0"/>
                <w:snapToGrid w:val="0"/>
                <w:color w:val="000000"/>
                <w:spacing w:val="0"/>
                <w:kern w:val="0"/>
                <w:sz w:val="18"/>
                <w:szCs w:val="18"/>
                <w:lang w:val="en-US" w:eastAsia="zh-CN"/>
              </w:rPr>
              <w:t>（故障发生至最后同步时间点）。</w:t>
            </w:r>
          </w:p>
        </w:tc>
        <w:tc>
          <w:tcPr>
            <w:tcW w:w="1219"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超额达标</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连续性目标 (BCP RTO)</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灾难场景下，24小时内在备用站点恢复关键服务。</w:t>
            </w:r>
          </w:p>
        </w:tc>
        <w:tc>
          <w:tcPr>
            <w:tcW w:w="3912"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通过年度模拟切换演练验证，在备用云环境成功恢复核心数据库与应用服务，总耗时 </w:t>
            </w:r>
            <w:r>
              <w:rPr>
                <w:rStyle w:val="Strong"/>
                <w:rFonts w:ascii="Segoe UI" w:eastAsia="Segoe UI" w:hAnsi="Segoe UI" w:cs="Segoe UI" w:hint="default"/>
                <w:b/>
                <w:bCs/>
                <w:i w:val="0"/>
                <w:iCs w:val="0"/>
                <w:caps w:val="0"/>
                <w:snapToGrid w:val="0"/>
                <w:color w:val="000000"/>
                <w:spacing w:val="0"/>
                <w:kern w:val="0"/>
                <w:sz w:val="18"/>
                <w:szCs w:val="18"/>
                <w:lang w:val="en-US" w:eastAsia="zh-CN"/>
              </w:rPr>
              <w:t>18小时40分钟</w:t>
            </w:r>
            <w:r>
              <w:rPr>
                <w:rFonts w:ascii="Segoe UI" w:eastAsia="Segoe UI" w:hAnsi="Segoe UI" w:cs="Segoe UI" w:hint="default"/>
                <w:i w:val="0"/>
                <w:iCs w:val="0"/>
                <w:caps w:val="0"/>
                <w:snapToGrid w:val="0"/>
                <w:color w:val="000000"/>
                <w:spacing w:val="0"/>
                <w:kern w:val="0"/>
                <w:sz w:val="18"/>
                <w:szCs w:val="18"/>
                <w:lang w:val="en-US" w:eastAsia="zh-CN"/>
              </w:rPr>
              <w:t>。</w:t>
            </w:r>
          </w:p>
        </w:tc>
        <w:tc>
          <w:tcPr>
            <w:tcW w:w="1219"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达标</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连续性目标 (BCP RPO)</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灾难场景下，核心数据损失不超过24小时。</w:t>
            </w:r>
          </w:p>
        </w:tc>
        <w:tc>
          <w:tcPr>
            <w:tcW w:w="3912"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异地备份数据同步延迟最大为 </w:t>
            </w:r>
            <w:r>
              <w:rPr>
                <w:rStyle w:val="Strong"/>
                <w:rFonts w:ascii="Segoe UI" w:eastAsia="Segoe UI" w:hAnsi="Segoe UI" w:cs="Segoe UI" w:hint="default"/>
                <w:b/>
                <w:bCs/>
                <w:i w:val="0"/>
                <w:iCs w:val="0"/>
                <w:caps w:val="0"/>
                <w:snapToGrid w:val="0"/>
                <w:color w:val="000000"/>
                <w:spacing w:val="0"/>
                <w:kern w:val="0"/>
                <w:sz w:val="18"/>
                <w:szCs w:val="18"/>
                <w:lang w:val="en-US" w:eastAsia="zh-CN"/>
              </w:rPr>
              <w:t>12小时</w:t>
            </w:r>
            <w:r>
              <w:rPr>
                <w:rFonts w:ascii="Segoe UI" w:eastAsia="Segoe UI" w:hAnsi="Segoe UI" w:cs="Segoe UI" w:hint="default"/>
                <w:i w:val="0"/>
                <w:iCs w:val="0"/>
                <w:caps w:val="0"/>
                <w:snapToGrid w:val="0"/>
                <w:color w:val="000000"/>
                <w:spacing w:val="0"/>
                <w:kern w:val="0"/>
                <w:sz w:val="18"/>
                <w:szCs w:val="18"/>
                <w:lang w:val="en-US" w:eastAsia="zh-CN"/>
              </w:rPr>
              <w:t>，满足目标要求。</w:t>
            </w:r>
          </w:p>
        </w:tc>
        <w:tc>
          <w:tcPr>
            <w:tcW w:w="1219"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达标</w:t>
            </w:r>
          </w:p>
        </w:tc>
      </w:tr>
    </w:tbl>
    <w:p>
      <w:pPr>
        <w:pStyle w:val="1"/>
        <w:bidi w:val="0"/>
        <w:rPr>
          <w:rFonts w:hint="default"/>
          <w:lang w:val="en-US" w:eastAsia="zh-CN"/>
        </w:rPr>
      </w:pPr>
      <w:bookmarkStart w:id="5" w:name="_Toc24787"/>
      <w:r>
        <w:rPr>
          <w:rFonts w:hint="default"/>
          <w:lang w:val="en-US" w:eastAsia="zh-CN"/>
        </w:rPr>
        <w:t>关键管理活动总结</w:t>
      </w:r>
      <w:bookmarkEnd w:id="5"/>
    </w:p>
    <w:p>
      <w:pPr>
        <w:pStyle w:val="2"/>
        <w:bidi w:val="0"/>
        <w:rPr>
          <w:rFonts w:hint="default"/>
          <w:lang w:val="en-US" w:eastAsia="zh-CN"/>
        </w:rPr>
      </w:pPr>
      <w:bookmarkStart w:id="6" w:name="_Toc28161"/>
      <w:r>
        <w:rPr>
          <w:rFonts w:hint="default"/>
          <w:lang w:val="en-US" w:eastAsia="zh-CN"/>
        </w:rPr>
        <w:t>日常监控与预防性维护</w:t>
      </w:r>
      <w:bookmarkEnd w:id="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监控体系：基于计划4.2条建立的监控体系运行有效，累计产生预警告警156条，均得到及时处置，成功预防潜在故障8起。</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容量管理：按季度分析资源趋势，并于9月完成一次应用服务器集群的在线扩容，有效应对了业务增长带来的负载压力。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计划内维护：执行计划内维护3次（包括安全补丁更新、数据库优化），均提前通知甲方并安排在低峰期，未对SLA达成造成影响。</w:t>
      </w:r>
    </w:p>
    <w:p>
      <w:pPr>
        <w:pStyle w:val="2"/>
        <w:bidi w:val="0"/>
        <w:rPr>
          <w:rFonts w:hint="default"/>
          <w:lang w:val="en-US" w:eastAsia="zh-CN"/>
        </w:rPr>
      </w:pPr>
      <w:bookmarkStart w:id="7" w:name="_Toc28293"/>
      <w:r>
        <w:rPr>
          <w:rFonts w:hint="default"/>
          <w:lang w:val="en-US" w:eastAsia="zh-CN"/>
        </w:rPr>
        <w:t>事件与应急响应</w:t>
      </w:r>
      <w:bookmarkEnd w:id="7"/>
    </w:p>
    <w:p>
      <w:pPr>
        <w:pStyle w:val="a1"/>
        <w:rPr>
          <w:rFonts w:hint="default"/>
          <w:lang w:val="en-US" w:eastAsia="zh-CN"/>
        </w:rPr>
      </w:pPr>
      <w:r>
        <w:rPr>
          <w:rFonts w:hint="eastAsia"/>
          <w:lang w:val="en-US" w:eastAsia="zh-CN"/>
        </w:rPr>
        <w:t>在运维过程中没有发生应急事件。</w:t>
      </w:r>
    </w:p>
    <w:p>
      <w:pPr>
        <w:pStyle w:val="2"/>
        <w:bidi w:val="0"/>
        <w:rPr>
          <w:rFonts w:hint="default"/>
          <w:lang w:val="en-US" w:eastAsia="zh-CN"/>
        </w:rPr>
      </w:pPr>
      <w:bookmarkStart w:id="8" w:name="_Toc29506"/>
      <w:r>
        <w:rPr>
          <w:rFonts w:hint="default"/>
          <w:lang w:val="en-US" w:eastAsia="zh-CN"/>
        </w:rPr>
        <w:t>业务连续性演练与测试</w:t>
      </w:r>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演练执行：于2025年</w:t>
      </w:r>
      <w:r>
        <w:rPr>
          <w:rFonts w:hint="eastAsia"/>
          <w:lang w:val="en-US" w:eastAsia="zh-CN"/>
        </w:rPr>
        <w:t>12</w:t>
      </w:r>
      <w:r>
        <w:rPr>
          <w:rFonts w:hint="default"/>
          <w:lang w:val="en-US" w:eastAsia="zh-CN"/>
        </w:rPr>
        <w:t>月组织了年度业务连续性</w:t>
      </w:r>
      <w:r>
        <w:rPr>
          <w:rFonts w:hint="eastAsia"/>
          <w:lang w:val="en-US" w:eastAsia="zh-CN"/>
        </w:rPr>
        <w:t>现场处置演练</w:t>
      </w:r>
      <w:r>
        <w:rPr>
          <w:rFonts w:hint="default"/>
          <w:lang w:val="en-US" w:eastAsia="zh-CN"/>
        </w:rPr>
        <w:t>与部分系统模拟切换测试，演练场景为“主数据中心电力故障”。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演练成果：验证了BCP预案的可行性、团队协作流程及备用资源的可用性。达到了计划6.1条设定的演练目标，并识别出3项待优化项（见第六部分）。</w:t>
      </w:r>
    </w:p>
    <w:p>
      <w:pPr>
        <w:pStyle w:val="1"/>
        <w:bidi w:val="0"/>
        <w:rPr>
          <w:rFonts w:hint="default"/>
          <w:lang w:val="en-US" w:eastAsia="zh-CN"/>
        </w:rPr>
      </w:pPr>
      <w:bookmarkStart w:id="9" w:name="_Toc5856"/>
      <w:r>
        <w:rPr>
          <w:rFonts w:hint="default"/>
          <w:lang w:val="en-US" w:eastAsia="zh-CN"/>
        </w:rPr>
        <w:t>资源保障与合同符合性</w:t>
      </w:r>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团队与知识：项目团队保持稳定，核心运维人员均参与相关培训与演练，熟练掌握恢复流程。服务知识库中更新了本次重大事件的解决方案及恢复检查单。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备件与供应商：采购部与备品备件管理员确保了关键备件的库存。与云服务商的合同包含明确的备用资源启用条款，为连续性恢复提供了合约保障。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SLA符合性：所有服务请求与故障申报均在合同约定的时限内响应与处理，未发生因我方原因导致的SLA违约。</w:t>
      </w:r>
    </w:p>
    <w:p>
      <w:pPr>
        <w:pStyle w:val="1"/>
        <w:bidi w:val="0"/>
        <w:rPr>
          <w:rFonts w:hint="default"/>
          <w:lang w:val="en-US" w:eastAsia="zh-CN"/>
        </w:rPr>
      </w:pPr>
      <w:bookmarkStart w:id="10" w:name="_Toc2170"/>
      <w:r>
        <w:rPr>
          <w:rFonts w:hint="default"/>
          <w:lang w:val="en-US" w:eastAsia="zh-CN"/>
        </w:rPr>
        <w:t>审计与评审</w:t>
      </w:r>
      <w:bookmarkEnd w:id="1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质量部于2025年</w:t>
      </w:r>
      <w:r>
        <w:rPr>
          <w:rFonts w:hint="eastAsia"/>
          <w:lang w:val="en-US" w:eastAsia="zh-CN"/>
        </w:rPr>
        <w:t>12</w:t>
      </w:r>
      <w:r>
        <w:rPr>
          <w:rFonts w:hint="default"/>
          <w:lang w:val="en-US" w:eastAsia="zh-CN"/>
        </w:rPr>
        <w:t>月对本计划的执行情况进行了专项审计。审计认为：可用性与连续性管理活动按计划开展，记录完整，目标达成情况良好。同时提出1项观察项：备用环境的部分系统配置版本与生产环境存在细微差异，需纳入配置管理统一管控。该观察项已列入改进计划。</w:t>
      </w:r>
    </w:p>
    <w:p>
      <w:pPr>
        <w:pStyle w:val="1"/>
        <w:bidi w:val="0"/>
        <w:rPr>
          <w:rFonts w:hint="default"/>
          <w:lang w:val="en-US" w:eastAsia="zh-CN"/>
        </w:rPr>
      </w:pPr>
      <w:bookmarkStart w:id="11" w:name="_Toc2172"/>
      <w:r>
        <w:rPr>
          <w:rFonts w:hint="default"/>
          <w:lang w:val="en-US" w:eastAsia="zh-CN"/>
        </w:rPr>
        <w:t>存在的问题、风险与改进计划</w:t>
      </w:r>
      <w:bookmarkEnd w:id="11"/>
    </w:p>
    <w:p>
      <w:pPr>
        <w:rPr>
          <w:rFonts w:hint="default"/>
          <w:lang w:val="en-US" w:eastAsia="zh-CN"/>
        </w:rPr>
      </w:pPr>
      <w:r>
        <w:rPr>
          <w:rFonts w:hint="default"/>
          <w:lang w:val="en-US" w:eastAsia="zh-CN"/>
        </w:rPr>
        <w:br w:type="page"/>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
      <w:tblGrid>
        <w:gridCol w:w="425"/>
        <w:gridCol w:w="1757"/>
        <w:gridCol w:w="1660"/>
        <w:gridCol w:w="2525"/>
        <w:gridCol w:w="1310"/>
        <w:gridCol w:w="82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Ex>
        <w:trPr>
          <w:tblHeader/>
        </w:trPr>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序号</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问题/风险描述</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影响分析</w:t>
            </w:r>
          </w:p>
        </w:tc>
        <w:tc>
          <w:tcPr>
            <w:tcW w:w="2525"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改进措施</w:t>
            </w:r>
          </w:p>
        </w:tc>
        <w:tc>
          <w:tcPr>
            <w:tcW w:w="1310"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责任部门</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计划完成时间</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备用环境配置与生产环境存在版本差异</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灾难切换后可能出现兼容性问题或功能不一致。</w:t>
            </w:r>
          </w:p>
        </w:tc>
        <w:tc>
          <w:tcPr>
            <w:tcW w:w="2525"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将备用环境纳入CMDB统一管理，建立与生产环境的定期配置同步与验证流程。</w:t>
            </w:r>
          </w:p>
        </w:tc>
        <w:tc>
          <w:tcPr>
            <w:tcW w:w="1310"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2026年Q1</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业务连续性演练未涉及全链路（如第三方支付接口）</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对端到端业务恢复能力的验证不够充分。</w:t>
            </w:r>
          </w:p>
        </w:tc>
        <w:tc>
          <w:tcPr>
            <w:tcW w:w="2525"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在2026年演练计划中，设计包含关键外部接口模拟的演练场景，并与相关方提前协调。</w:t>
            </w:r>
          </w:p>
        </w:tc>
        <w:tc>
          <w:tcPr>
            <w:tcW w:w="1310"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运维部、技术研发部</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2026年Q3</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部分监控指标的阈值设置过于宽松</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可能导致潜在性能问题未能被提前预警。</w:t>
            </w:r>
          </w:p>
        </w:tc>
        <w:tc>
          <w:tcPr>
            <w:tcW w:w="2525"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基于历史数据分析，重新评估并收紧关键性能指标（如API响应时间、队列深度）的告警阈值。</w:t>
            </w:r>
          </w:p>
        </w:tc>
        <w:tc>
          <w:tcPr>
            <w:tcW w:w="1310"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0" w:type="auto"/>
            <w:shd w:val="clear" w:color="auto" w:fill="auto"/>
            <w:vAlign w:val="center"/>
          </w:tcPr>
          <w:p>
            <w:pPr>
              <w:rPr>
                <w:rFonts w:ascii="Segoe UI" w:eastAsia="Segoe UI" w:hAnsi="Segoe UI" w:cs="Segoe UI" w:hint="eastAsia"/>
                <w:i w:val="0"/>
                <w:iCs w:val="0"/>
                <w:caps w:val="0"/>
                <w:color w:val="0F1115"/>
                <w:spacing w:val="0"/>
                <w:sz w:val="19"/>
                <w:szCs w:val="19"/>
              </w:rPr>
            </w:pPr>
            <w:r>
              <w:rPr>
                <w:rFonts w:ascii="Segoe UI" w:eastAsia="Segoe UI" w:hAnsi="Segoe UI" w:cs="Segoe UI" w:hint="default"/>
                <w:i w:val="0"/>
                <w:iCs w:val="0"/>
                <w:caps w:val="0"/>
                <w:snapToGrid w:val="0"/>
                <w:color w:val="000000"/>
                <w:spacing w:val="0"/>
                <w:kern w:val="0"/>
                <w:sz w:val="18"/>
                <w:szCs w:val="18"/>
                <w:lang w:val="en-US" w:eastAsia="zh-CN"/>
              </w:rPr>
              <w:t>2026年Q3</w:t>
            </w:r>
          </w:p>
        </w:tc>
      </w:tr>
    </w:tbl>
    <w:p>
      <w:pPr>
        <w:pStyle w:val="1"/>
        <w:bidi w:val="0"/>
        <w:rPr>
          <w:rFonts w:hint="default"/>
          <w:lang w:val="en-US" w:eastAsia="zh-CN"/>
        </w:rPr>
      </w:pPr>
      <w:bookmarkStart w:id="12" w:name="_Toc2929"/>
      <w:r>
        <w:rPr>
          <w:rFonts w:hint="default"/>
          <w:lang w:val="en-US" w:eastAsia="zh-CN"/>
        </w:rPr>
        <w:t>结论与建议</w:t>
      </w:r>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结论：报告期内，项目服务可用性与连续性管理体系运行有效，所有预设管理目标均已达成或超额达成。通过主动监控、及时响应和定期演练，有效保障了服务的稳定运行，并验证了应对重大中断及灾难事件的恢复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建议：</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持续关注并落实第六部分的改进计划，重点加强备用环境的配置管理。</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建议在2026年将业务连续性意识培训范围扩大至项目全体成员及相关业务方联系人。</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本报告应作为项目服务质量的重要记录，提交甲方审阅备案。</w:t>
      </w:r>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肇庆市天鹰生物科技有限公司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9369BFA7"/>
    <w:multiLevelType w:val="singleLevel"/>
    <w:tmpl w:val="9369BFA7"/>
    <w:lvl w:ilvl="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6</Pages>
  <Words>1533</Words>
  <Characters>1672</Characters>
  <Application>Microsoft Office Word</Application>
  <DocSecurity>0</DocSecurity>
  <Lines>0</Lines>
  <Paragraphs>0</Paragraphs>
  <ScaleCrop>false</ScaleCrop>
  <Company/>
  <LinksUpToDate>false</LinksUpToDate>
  <CharactersWithSpaces>1728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2026-03-20T14:20:10Z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