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2139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肇庆市天鹰生物科技有限公司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21883"/>
      <w:r>
        <w:rPr>
          <w:rFonts w:hint="eastAsia"/>
          <w:lang w:val="en-US" w:eastAsia="zh-CN"/>
        </w:rPr>
        <w:t>过程框架设计方案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TYSW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19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吴智锋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吴智锋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宋体" w:hint="eastAsia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312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bookmarkStart w:id="2" w:name="_GoBack"/>
          <w:bookmarkEnd w:id="2"/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_Toc22139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肇庆市天鹰生物科技有限公司</w:t>
          </w:r>
          <w:r>
            <w:tab/>
          </w:r>
          <w:r>
            <w:fldChar w:fldCharType="begin"/>
          </w:r>
          <w:r>
            <w:instrText xml:space="preserve"> PAGEREF _Toc22139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_Toc21883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过程框架设计方案</w:t>
          </w:r>
          <w:r>
            <w:tab/>
          </w:r>
          <w:r>
            <w:fldChar w:fldCharType="begin"/>
          </w:r>
          <w:r>
            <w:instrText xml:space="preserve"> PAGEREF _Toc21883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_Toc27298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概述</w:t>
          </w:r>
          <w:r>
            <w:tab/>
          </w:r>
          <w:r>
            <w:fldChar w:fldCharType="begin"/>
          </w:r>
          <w:r>
            <w:instrText xml:space="preserve"> PAGEREF _Toc27298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_Toc17320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过程框架设计方案</w:t>
          </w:r>
          <w:r>
            <w:tab/>
          </w:r>
          <w:r>
            <w:fldChar w:fldCharType="begin"/>
          </w:r>
          <w:r>
            <w:instrText xml:space="preserve"> PAGEREF _Toc17320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_Toc16980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过程框架概览</w:t>
          </w:r>
          <w:r>
            <w:tab/>
          </w:r>
          <w:r>
            <w:fldChar w:fldCharType="begin"/>
          </w:r>
          <w:r>
            <w:instrText xml:space="preserve"> PAGEREF _Toc16980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eastAsia"/>
          <w:lang w:val="en-US" w:eastAsia="zh-CN"/>
        </w:rPr>
      </w:pPr>
      <w:bookmarkStart w:id="3" w:name="_Toc27298"/>
      <w:r>
        <w:rPr>
          <w:rFonts w:hint="eastAsia"/>
          <w:lang w:val="en-US" w:eastAsia="zh-CN"/>
        </w:rPr>
        <w:t>概述</w:t>
      </w:r>
      <w:bookmarkEnd w:id="3"/>
    </w:p>
    <w:p>
      <w:pPr>
        <w:pStyle w:val="a1"/>
        <w:bidi w:val="0"/>
        <w:rPr>
          <w:rFonts w:hint="eastAsia"/>
          <w:lang w:eastAsia="zh-CN"/>
        </w:rPr>
      </w:pPr>
      <w:r>
        <w:t>为构建系统化的运维服务管理体系，明确各服务过程间的协同与关联关系，指导各过程的规范化建设与持续改进，从而全面提升公司服务管理水平，运维部结合相关部门管理需求，策划并设计了公司运维服务过程框架</w:t>
      </w:r>
      <w:r>
        <w:rPr>
          <w:rFonts w:hint="eastAsia"/>
          <w:lang w:eastAsia="zh-CN"/>
        </w:rPr>
        <w:t>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4" w:name="_Toc17320"/>
      <w:r>
        <w:rPr>
          <w:rFonts w:hint="eastAsia"/>
          <w:lang w:val="en-US" w:eastAsia="zh-CN"/>
        </w:rPr>
        <w:t>过程框架设计方案</w:t>
      </w:r>
      <w:bookmarkEnd w:id="4"/>
    </w:p>
    <w:p>
      <w:pPr>
        <w:pStyle w:val="2"/>
        <w:bidi w:val="0"/>
        <w:rPr>
          <w:rFonts w:hint="eastAsia"/>
          <w:lang w:val="en-US" w:eastAsia="zh-CN"/>
        </w:rPr>
      </w:pPr>
      <w:bookmarkStart w:id="5" w:name="_Toc16980"/>
      <w:r>
        <w:rPr>
          <w:rFonts w:hint="eastAsia"/>
          <w:lang w:val="en-US" w:eastAsia="zh-CN"/>
        </w:rPr>
        <w:t>过程框架概览</w:t>
      </w:r>
      <w:bookmarkEnd w:id="5"/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公司运维服务过程框架涵盖十大核心服务过程，包括：服务级别管理、服务报告管理、事件管理、问题管理、变更管理、发布管理、配置管理、服务可用性与连续性管理、容量管理、信息安全管理。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各过程以服务级别管理（SLA）为指导核心，以信息安全管理为保障手段，以配置管理为基础数据支撑，以服务报告管理为交付质量验证方式。过程之间相互关联、协同运作，共同确保服务过程的规范化与可控性，进而推动服务级别协议（SLA）的达成与服务管理水平的持续提升。</w:t>
      </w:r>
    </w:p>
    <w:p>
      <w:pPr>
        <w:pStyle w:val="a1"/>
        <w:bidi w:val="0"/>
      </w:pPr>
      <w:r>
        <w:rPr>
          <w:rFonts w:hint="eastAsia"/>
          <w:lang w:val="en-US" w:eastAsia="zh-CN"/>
        </w:rPr>
        <w:t>公司运维服务过程框架设计如下图所示：</w:t>
      </w:r>
      <w:r>
        <w:drawing>
          <wp:inline distT="0" distB="0" distL="114300" distR="114300">
            <wp:extent cx="5270500" cy="3836035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3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应用和持续改善相关工作，详细如下：</w:t>
      </w:r>
    </w:p>
    <w:tbl>
      <w:tblPr>
        <w:tblStyle w:val="TableGrid"/>
        <w:tblW w:w="8641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2"/>
        <w:gridCol w:w="1752"/>
        <w:gridCol w:w="1884"/>
        <w:gridCol w:w="1944"/>
        <w:gridCol w:w="1949"/>
      </w:tblGrid>
      <w:tr>
        <w:tblPrEx>
          <w:tblW w:w="8641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过程名称</w:t>
            </w:r>
          </w:p>
        </w:tc>
        <w:tc>
          <w:tcPr>
            <w:tcW w:w="1752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应用场景</w:t>
            </w:r>
          </w:p>
        </w:tc>
        <w:tc>
          <w:tcPr>
            <w:tcW w:w="1884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关键指标</w:t>
            </w:r>
          </w:p>
        </w:tc>
        <w:tc>
          <w:tcPr>
            <w:tcW w:w="1944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与其他过程的输入</w:t>
            </w:r>
          </w:p>
        </w:tc>
        <w:tc>
          <w:tcPr>
            <w:tcW w:w="1949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对其他过程的输出</w:t>
            </w:r>
          </w:p>
        </w:tc>
      </w:tr>
      <w:tr>
        <w:tblPrEx>
          <w:tblW w:w="8641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服务级别管理</w:t>
            </w:r>
          </w:p>
        </w:tc>
        <w:tc>
          <w:tcPr>
            <w:tcW w:w="1752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用于运维服务需求从受理到方案提供、SLA 签订、 SLA 实施与监控的全生命周期管理</w:t>
            </w:r>
          </w:p>
        </w:tc>
        <w:tc>
          <w:tcPr>
            <w:tcW w:w="1884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SLA 达成率≥9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default"/>
                <w:lang w:val="en-US" w:eastAsia="zh-CN"/>
              </w:rPr>
              <w:t>%</w:t>
            </w:r>
          </w:p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计算方式：（满足服务级别事件数/事件总数）*100% 考 核频 次：</w:t>
            </w:r>
            <w:r>
              <w:rPr>
                <w:rFonts w:hint="eastAsia"/>
                <w:lang w:val="en-US" w:eastAsia="zh-CN"/>
              </w:rPr>
              <w:t>季度</w:t>
            </w:r>
            <w:r>
              <w:rPr>
                <w:rFonts w:hint="default"/>
                <w:lang w:val="en-US" w:eastAsia="zh-CN"/>
              </w:rPr>
              <w:t xml:space="preserve"> </w:t>
            </w:r>
          </w:p>
        </w:tc>
        <w:tc>
          <w:tcPr>
            <w:tcW w:w="1944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从可用性和连续性管理、容量管理、事件管理、信息安全管理获得服务级别协议相关信息</w:t>
            </w:r>
          </w:p>
        </w:tc>
        <w:tc>
          <w:tcPr>
            <w:tcW w:w="1949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、向可用性和连续性管理 、 容量管理 、 事件管理、信息安全管理、服务报告管理提供服务级别协议相关信息；</w:t>
            </w:r>
          </w:p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 、向变更管理提供服务级别相关变更请求</w:t>
            </w:r>
          </w:p>
        </w:tc>
      </w:tr>
      <w:tr>
        <w:tblPrEx>
          <w:tblW w:w="8641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服务报告管理</w:t>
            </w:r>
          </w:p>
        </w:tc>
        <w:tc>
          <w:tcPr>
            <w:tcW w:w="1752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用于管理运维项目中各类服务报告，包含各类方案、阶段性总结报告、验收汇报等</w:t>
            </w:r>
          </w:p>
        </w:tc>
        <w:tc>
          <w:tcPr>
            <w:tcW w:w="1884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服务报告</w:t>
            </w:r>
            <w:r>
              <w:rPr>
                <w:rFonts w:hint="eastAsia"/>
                <w:lang w:val="en-US" w:eastAsia="zh-CN"/>
              </w:rPr>
              <w:t>提交</w:t>
            </w:r>
            <w:r>
              <w:rPr>
                <w:rFonts w:hint="default"/>
                <w:lang w:val="en-US" w:eastAsia="zh-CN"/>
              </w:rPr>
              <w:t>及时率 ≥9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default"/>
                <w:lang w:val="en-US" w:eastAsia="zh-CN"/>
              </w:rPr>
              <w:t>%</w:t>
            </w:r>
            <w:r>
              <w:rPr>
                <w:rFonts w:hint="eastAsia"/>
                <w:lang w:val="en-US" w:eastAsia="zh-CN"/>
              </w:rPr>
              <w:t>，</w:t>
            </w:r>
            <w:r>
              <w:rPr>
                <w:rFonts w:hint="default"/>
                <w:lang w:val="en-US" w:eastAsia="zh-CN"/>
              </w:rPr>
              <w:t>计算方式：</w:t>
            </w:r>
            <w:r>
              <w:rPr>
                <w:rFonts w:hint="eastAsia"/>
                <w:lang w:val="en-US" w:eastAsia="zh-CN"/>
              </w:rPr>
              <w:t>按时提交的服务报告数量</w:t>
            </w:r>
            <w:r>
              <w:rPr>
                <w:rFonts w:hint="default"/>
                <w:lang w:val="en-US" w:eastAsia="zh-CN"/>
              </w:rPr>
              <w:t>/</w:t>
            </w:r>
            <w:r>
              <w:rPr>
                <w:rFonts w:hint="eastAsia"/>
                <w:lang w:val="en-US" w:eastAsia="zh-CN"/>
              </w:rPr>
              <w:t>应</w:t>
            </w:r>
            <w:r>
              <w:rPr>
                <w:rFonts w:hint="default"/>
                <w:lang w:val="en-US" w:eastAsia="zh-CN"/>
              </w:rPr>
              <w:t>提交</w:t>
            </w:r>
            <w:r>
              <w:rPr>
                <w:rFonts w:hint="eastAsia"/>
                <w:lang w:val="en-US" w:eastAsia="zh-CN"/>
              </w:rPr>
              <w:t>的</w:t>
            </w:r>
            <w:r>
              <w:rPr>
                <w:rFonts w:hint="default"/>
                <w:lang w:val="en-US" w:eastAsia="zh-CN"/>
              </w:rPr>
              <w:t>服务报告总数</w:t>
            </w:r>
            <w:r>
              <w:rPr>
                <w:rFonts w:hint="eastAsia"/>
                <w:lang w:val="en-US" w:eastAsia="zh-CN"/>
              </w:rPr>
              <w:t>*</w:t>
            </w:r>
            <w:r>
              <w:rPr>
                <w:rFonts w:hint="default"/>
                <w:lang w:val="en-US" w:eastAsia="zh-CN"/>
              </w:rPr>
              <w:t>100%</w:t>
            </w:r>
            <w:r>
              <w:rPr>
                <w:rFonts w:hint="eastAsia"/>
                <w:lang w:val="en-US" w:eastAsia="zh-CN"/>
              </w:rPr>
              <w:t>,频次:季度</w:t>
            </w:r>
          </w:p>
        </w:tc>
        <w:tc>
          <w:tcPr>
            <w:tcW w:w="1944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运维过程中相关报告与记录或其它信息渠道获取</w:t>
            </w:r>
          </w:p>
        </w:tc>
        <w:tc>
          <w:tcPr>
            <w:tcW w:w="1949" w:type="dxa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</w:p>
        </w:tc>
      </w:tr>
      <w:tr>
        <w:tblPrEx>
          <w:tblW w:w="8641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事件管理</w:t>
            </w:r>
          </w:p>
        </w:tc>
        <w:tc>
          <w:tcPr>
            <w:tcW w:w="1752" w:type="dxa"/>
            <w:shd w:val="clear" w:color="auto" w:fill="auto"/>
          </w:tcPr>
          <w:p>
            <w:pPr>
              <w:widowControl w:val="0"/>
              <w:bidi w:val="0"/>
              <w:jc w:val="left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确保业务系统各类事件能在最短的时间内得到解决，满足公司与客户约定的SLA要求</w:t>
            </w:r>
          </w:p>
        </w:tc>
        <w:tc>
          <w:tcPr>
            <w:tcW w:w="1884" w:type="dxa"/>
            <w:shd w:val="clear" w:color="auto" w:fill="auto"/>
          </w:tcPr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1.事件响应及时率</w:t>
            </w:r>
            <w:r>
              <w:rPr>
                <w:rFonts w:hint="default"/>
                <w:lang w:val="en-US" w:eastAsia="zh-CN"/>
              </w:rPr>
              <w:t>≥9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default"/>
                <w:lang w:val="en-US" w:eastAsia="zh-CN"/>
              </w:rPr>
              <w:t>%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计算方式：</w:t>
            </w:r>
            <w:r>
              <w:rPr>
                <w:rFonts w:hint="eastAsia"/>
                <w:lang w:val="en-US" w:eastAsia="zh-CN"/>
              </w:rPr>
              <w:t>规定时间内响应的事件数/事件总数*100%，</w:t>
            </w:r>
            <w:r>
              <w:rPr>
                <w:rFonts w:hint="default"/>
                <w:lang w:val="en-US" w:eastAsia="zh-CN"/>
              </w:rPr>
              <w:t>考核频次：</w:t>
            </w:r>
            <w:r>
              <w:rPr>
                <w:rFonts w:hint="eastAsia"/>
                <w:lang w:val="en-US" w:eastAsia="zh-CN"/>
              </w:rPr>
              <w:t>月度</w:t>
            </w:r>
          </w:p>
          <w:p>
            <w:pPr>
              <w:widowControl w:val="0"/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</w:t>
            </w:r>
            <w:r>
              <w:rPr>
                <w:rFonts w:hint="default"/>
                <w:lang w:val="en-US" w:eastAsia="zh-CN"/>
              </w:rPr>
              <w:t>事件</w:t>
            </w:r>
            <w:r>
              <w:rPr>
                <w:rFonts w:hint="eastAsia"/>
                <w:lang w:val="en-US" w:eastAsia="zh-CN"/>
              </w:rPr>
              <w:t>按时</w:t>
            </w:r>
            <w:r>
              <w:rPr>
                <w:rFonts w:hint="default"/>
                <w:lang w:val="en-US" w:eastAsia="zh-CN"/>
              </w:rPr>
              <w:t>解决率≥9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default"/>
                <w:lang w:val="en-US" w:eastAsia="zh-CN"/>
              </w:rPr>
              <w:t>%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计算方式：</w:t>
            </w:r>
            <w:r>
              <w:rPr>
                <w:rFonts w:hint="eastAsia"/>
                <w:lang w:val="en-US" w:eastAsia="zh-CN"/>
              </w:rPr>
              <w:t>规定时间内成功解决的事件数/事件总数</w:t>
            </w:r>
            <w:r>
              <w:rPr>
                <w:rFonts w:hint="default"/>
                <w:lang w:val="en-US" w:eastAsia="zh-CN"/>
              </w:rPr>
              <w:t>*100% 考核频次：</w:t>
            </w:r>
            <w:r>
              <w:rPr>
                <w:rFonts w:hint="eastAsia"/>
                <w:lang w:val="en-US" w:eastAsia="zh-CN"/>
              </w:rPr>
              <w:t>月度</w:t>
            </w:r>
          </w:p>
        </w:tc>
        <w:tc>
          <w:tcPr>
            <w:tcW w:w="1944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、从服务级别管理获得服务级别协议相关信息；</w:t>
            </w:r>
          </w:p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 、从变更管理获得事件 引发变更 的处理 结果；</w:t>
            </w:r>
          </w:p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 、从信息安全管理获得信息安全管理相关信息；</w:t>
            </w:r>
          </w:p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 、从问题管理获得已知问题、已知错误和解决方案的信息；</w:t>
            </w:r>
          </w:p>
          <w:p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5 、从配置管理获得配置项信息；</w:t>
            </w:r>
          </w:p>
        </w:tc>
        <w:tc>
          <w:tcPr>
            <w:tcW w:w="1949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、向发布管理提供待发布信息、操作手册、已知错误信息；</w:t>
            </w:r>
          </w:p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 、向信息安全管理提供安全性突发事件报告和记录等信息，并触发信息安全管理；</w:t>
            </w:r>
          </w:p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 、向变更管理提供变更请求信息 ， 并触发变更管理；</w:t>
            </w:r>
          </w:p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 、向问题管理提供重大、重复多次等相关事件信息。</w:t>
            </w:r>
          </w:p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 、向服务报告管理提供事件相关信息</w:t>
            </w:r>
          </w:p>
        </w:tc>
      </w:tr>
      <w:tr>
        <w:tblPrEx>
          <w:tblW w:w="8641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问题管理</w:t>
            </w:r>
          </w:p>
        </w:tc>
        <w:tc>
          <w:tcPr>
            <w:tcW w:w="1752" w:type="dxa"/>
            <w:shd w:val="clear" w:color="auto" w:fill="auto"/>
          </w:tcPr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对重复多次发生的事件、具有重大影响范围等事件进行根源调查、处置，避免事件的再次发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生，提高系统可用性、连续性和容量</w:t>
            </w:r>
          </w:p>
        </w:tc>
        <w:tc>
          <w:tcPr>
            <w:tcW w:w="1884" w:type="dxa"/>
            <w:shd w:val="clear" w:color="auto" w:fill="auto"/>
          </w:tcPr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问题解决率≥</w:t>
            </w:r>
            <w:r>
              <w:rPr>
                <w:rFonts w:hint="eastAsia"/>
                <w:lang w:val="en-US" w:eastAsia="zh-CN"/>
              </w:rPr>
              <w:t>95</w:t>
            </w:r>
            <w:r>
              <w:rPr>
                <w:rFonts w:hint="default"/>
                <w:lang w:val="en-US" w:eastAsia="zh-CN"/>
              </w:rPr>
              <w:t>%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计算方式：</w:t>
            </w:r>
            <w:r>
              <w:rPr>
                <w:rFonts w:hint="eastAsia"/>
                <w:lang w:val="en-US" w:eastAsia="zh-CN"/>
              </w:rPr>
              <w:t>实际解决的问题数</w:t>
            </w:r>
            <w:r>
              <w:rPr>
                <w:rFonts w:hint="default"/>
                <w:lang w:val="en-US" w:eastAsia="zh-CN"/>
              </w:rPr>
              <w:t>/问题总数*100%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考核频次：季度</w:t>
            </w:r>
          </w:p>
        </w:tc>
        <w:tc>
          <w:tcPr>
            <w:tcW w:w="1944" w:type="dxa"/>
            <w:shd w:val="clear" w:color="auto" w:fill="auto"/>
          </w:tcPr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1、从事件管理获得突发事件报告的相关信息；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2、从变更管理获得问题 引发变更的处理 结果；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3、从发布管理获得已知问题、已知错误和解决方案的相关信息；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4、从配置管理获得配置项信息</w:t>
            </w:r>
          </w:p>
        </w:tc>
        <w:tc>
          <w:tcPr>
            <w:tcW w:w="1949" w:type="dxa"/>
            <w:shd w:val="clear" w:color="auto" w:fill="auto"/>
          </w:tcPr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1、向变更管理提交变更请求信息；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2、向事件管理提供已知问题、 已知错误和解决方案的相关信息；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3、向服务报告管理提供问题相关信息</w:t>
            </w:r>
          </w:p>
        </w:tc>
      </w:tr>
      <w:tr>
        <w:tblPrEx>
          <w:tblW w:w="8641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变更管理</w:t>
            </w:r>
          </w:p>
        </w:tc>
        <w:tc>
          <w:tcPr>
            <w:tcW w:w="1752" w:type="dxa"/>
            <w:shd w:val="clear" w:color="auto" w:fill="auto"/>
          </w:tcPr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从业务、技术两个角度管理客户业务系统生产环境变更，尽量降低变更对生产环境带来的影响</w:t>
            </w:r>
          </w:p>
        </w:tc>
        <w:tc>
          <w:tcPr>
            <w:tcW w:w="1884" w:type="dxa"/>
            <w:shd w:val="clear" w:color="auto" w:fill="auto"/>
          </w:tcPr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变更成功率≥9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default"/>
                <w:lang w:val="en-US" w:eastAsia="zh-CN"/>
              </w:rPr>
              <w:t>%计算方式：</w:t>
            </w:r>
            <w:r>
              <w:rPr>
                <w:rFonts w:hint="eastAsia"/>
                <w:lang w:val="en-US" w:eastAsia="zh-CN"/>
              </w:rPr>
              <w:t>变更成功次数</w:t>
            </w:r>
            <w:r>
              <w:rPr>
                <w:rFonts w:hint="default"/>
                <w:lang w:val="en-US" w:eastAsia="zh-CN"/>
              </w:rPr>
              <w:t>/变更总数*100%考核频次：季度</w:t>
            </w:r>
          </w:p>
        </w:tc>
        <w:tc>
          <w:tcPr>
            <w:tcW w:w="1944" w:type="dxa"/>
            <w:shd w:val="clear" w:color="auto" w:fill="auto"/>
          </w:tcPr>
          <w:p>
            <w:pPr>
              <w:widowControl w:val="0"/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、从可用性和连续性管理获得可用性计划和连续性计划</w:t>
            </w:r>
            <w:r>
              <w:rPr>
                <w:rFonts w:hint="eastAsia"/>
                <w:lang w:val="en-US" w:eastAsia="zh-CN"/>
              </w:rPr>
              <w:t>;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 、从配置管理获得变更对业务产生的影响；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 、从服务级别管理、信息安全管理、配置管理、事件管理、问题管理获得各过程的变更请求</w:t>
            </w:r>
          </w:p>
        </w:tc>
        <w:tc>
          <w:tcPr>
            <w:tcW w:w="1949" w:type="dxa"/>
            <w:shd w:val="clear" w:color="auto" w:fill="auto"/>
          </w:tcPr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、向配置管理提供配置项的更新和修改信息；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 、向发布管理提供变更授权；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 、向事件管理、问题管理提供变更的处理结果；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 、向服务报告管理提供变更信息</w:t>
            </w:r>
          </w:p>
        </w:tc>
      </w:tr>
      <w:tr>
        <w:tblPrEx>
          <w:tblW w:w="8641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发布管理</w:t>
            </w:r>
          </w:p>
        </w:tc>
        <w:tc>
          <w:tcPr>
            <w:tcW w:w="1752" w:type="dxa"/>
            <w:shd w:val="clear" w:color="auto" w:fill="auto"/>
          </w:tcPr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对软硬件导入生产环境的过程进行管理</w:t>
            </w:r>
          </w:p>
        </w:tc>
        <w:tc>
          <w:tcPr>
            <w:tcW w:w="1884" w:type="dxa"/>
            <w:shd w:val="clear" w:color="auto" w:fill="auto"/>
          </w:tcPr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发布成功率≥9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default"/>
                <w:lang w:val="en-US" w:eastAsia="zh-CN"/>
              </w:rPr>
              <w:t>%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计算方式：发布</w:t>
            </w:r>
            <w:r>
              <w:rPr>
                <w:rFonts w:hint="eastAsia"/>
                <w:lang w:val="en-US" w:eastAsia="zh-CN"/>
              </w:rPr>
              <w:t>成功次数</w:t>
            </w:r>
            <w:r>
              <w:rPr>
                <w:rFonts w:hint="default"/>
                <w:lang w:val="en-US" w:eastAsia="zh-CN"/>
              </w:rPr>
              <w:t>/发布总</w:t>
            </w:r>
            <w:r>
              <w:rPr>
                <w:rFonts w:hint="eastAsia"/>
                <w:lang w:val="en-US" w:eastAsia="zh-CN"/>
              </w:rPr>
              <w:t>次数*</w:t>
            </w:r>
            <w:r>
              <w:rPr>
                <w:rFonts w:hint="default"/>
                <w:lang w:val="en-US" w:eastAsia="zh-CN"/>
              </w:rPr>
              <w:t>100%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考核频次：季度</w:t>
            </w:r>
          </w:p>
        </w:tc>
        <w:tc>
          <w:tcPr>
            <w:tcW w:w="1944" w:type="dxa"/>
            <w:shd w:val="clear" w:color="auto" w:fill="auto"/>
          </w:tcPr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从变更管理获得变更授权</w:t>
            </w:r>
          </w:p>
        </w:tc>
        <w:tc>
          <w:tcPr>
            <w:tcW w:w="1949" w:type="dxa"/>
            <w:shd w:val="clear" w:color="auto" w:fill="auto"/>
          </w:tcPr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、向配置管理提供配置项的更新和修改信息；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 、向变更管理提供对变更记录的更新和修改信息；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 、向问题管理提供已知错误信息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 、向服务报告管理提供发布信息</w:t>
            </w:r>
          </w:p>
        </w:tc>
      </w:tr>
      <w:tr>
        <w:tblPrEx>
          <w:tblW w:w="8641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配置管理</w:t>
            </w:r>
          </w:p>
        </w:tc>
        <w:tc>
          <w:tcPr>
            <w:tcW w:w="1752" w:type="dxa"/>
            <w:shd w:val="clear" w:color="auto" w:fill="auto"/>
          </w:tcPr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确保客户业务系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统生产环境各类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配置项以及关系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能够得到及时地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导入和维护 ，从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而展示客户业务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系统生产环境实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时状态</w:t>
            </w:r>
          </w:p>
        </w:tc>
        <w:tc>
          <w:tcPr>
            <w:tcW w:w="1884" w:type="dxa"/>
            <w:shd w:val="clear" w:color="auto" w:fill="auto"/>
          </w:tcPr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配置</w:t>
            </w:r>
            <w:r>
              <w:rPr>
                <w:rFonts w:hint="eastAsia"/>
                <w:lang w:val="en-US" w:eastAsia="zh-CN"/>
              </w:rPr>
              <w:t>准确率</w:t>
            </w:r>
            <w:r>
              <w:rPr>
                <w:rFonts w:hint="default"/>
                <w:lang w:val="en-US" w:eastAsia="zh-CN"/>
              </w:rPr>
              <w:t>≥9</w:t>
            </w:r>
            <w:r>
              <w:rPr>
                <w:rFonts w:hint="eastAsia"/>
                <w:lang w:val="en-US" w:eastAsia="zh-CN"/>
              </w:rPr>
              <w:t>9</w:t>
            </w:r>
            <w:r>
              <w:rPr>
                <w:rFonts w:hint="default"/>
                <w:lang w:val="en-US" w:eastAsia="zh-CN"/>
              </w:rPr>
              <w:t>%计算方式：</w:t>
            </w:r>
            <w:r>
              <w:rPr>
                <w:rFonts w:hint="eastAsia"/>
                <w:lang w:val="en-US" w:eastAsia="zh-CN"/>
              </w:rPr>
              <w:t>准确配置次数/配置总次数*</w:t>
            </w:r>
            <w:r>
              <w:rPr>
                <w:rFonts w:hint="default"/>
                <w:lang w:val="en-US" w:eastAsia="zh-CN"/>
              </w:rPr>
              <w:t>100%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考核频次：季度</w:t>
            </w:r>
          </w:p>
        </w:tc>
        <w:tc>
          <w:tcPr>
            <w:tcW w:w="1944" w:type="dxa"/>
            <w:shd w:val="clear" w:color="auto" w:fill="auto"/>
          </w:tcPr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、从变更管理、发布管理获得对配置项的更新和修改信息；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 、从连续性和可用性管理获得可用性计划和连续性计划</w:t>
            </w:r>
          </w:p>
        </w:tc>
        <w:tc>
          <w:tcPr>
            <w:tcW w:w="1949" w:type="dxa"/>
            <w:shd w:val="clear" w:color="auto" w:fill="auto"/>
          </w:tcPr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向事件管理、 问题管理、变更管理、发布管理、可用性与连续性管理、容量管理、信息安全管理、服务报告管理提供配置项信息及配置项间的关系</w:t>
            </w:r>
          </w:p>
        </w:tc>
      </w:tr>
      <w:tr>
        <w:tblPrEx>
          <w:tblW w:w="8641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可用性和连续性管理</w:t>
            </w:r>
          </w:p>
        </w:tc>
        <w:tc>
          <w:tcPr>
            <w:tcW w:w="1752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当客户业务发生中断或重大灾害、意外事件时，公司在符合成本效益和业务快速恢复的原则下，最大化降低客户业务损失</w:t>
            </w:r>
          </w:p>
        </w:tc>
        <w:tc>
          <w:tcPr>
            <w:tcW w:w="1884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</w:t>
            </w:r>
            <w:r>
              <w:rPr>
                <w:rFonts w:hint="eastAsia"/>
                <w:lang w:val="en-US" w:eastAsia="zh-CN"/>
              </w:rPr>
              <w:t>关键服务可用性</w:t>
            </w:r>
            <w:r>
              <w:rPr>
                <w:rFonts w:hint="default"/>
                <w:lang w:val="en-US" w:eastAsia="zh-CN"/>
              </w:rPr>
              <w:t>≥9</w:t>
            </w:r>
            <w:r>
              <w:rPr>
                <w:rFonts w:hint="eastAsia"/>
                <w:lang w:val="en-US" w:eastAsia="zh-CN"/>
              </w:rPr>
              <w:t>9</w:t>
            </w:r>
            <w:r>
              <w:rPr>
                <w:rFonts w:hint="default"/>
                <w:lang w:val="en-US" w:eastAsia="zh-CN"/>
              </w:rPr>
              <w:t>%：</w:t>
            </w:r>
          </w:p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计算方式:(服务约定运行时间-服务不可用时间)/服务约定运行时间*100%</w:t>
            </w:r>
            <w:r>
              <w:rPr>
                <w:rFonts w:hint="default"/>
                <w:lang w:val="en-US" w:eastAsia="zh-CN"/>
              </w:rPr>
              <w:t xml:space="preserve"> 考核频次 ：</w:t>
            </w:r>
            <w:r>
              <w:rPr>
                <w:rFonts w:hint="eastAsia"/>
                <w:lang w:val="en-US" w:eastAsia="zh-CN"/>
              </w:rPr>
              <w:t>月度</w:t>
            </w:r>
            <w:r>
              <w:rPr>
                <w:rFonts w:hint="default"/>
                <w:lang w:val="en-US" w:eastAsia="zh-CN"/>
              </w:rPr>
              <w:t>）</w:t>
            </w:r>
          </w:p>
          <w:p>
            <w:pPr>
              <w:widowControl w:val="0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2、</w:t>
            </w:r>
            <w:r>
              <w:rPr>
                <w:rFonts w:hint="eastAsia"/>
                <w:lang w:val="en-US" w:eastAsia="zh-CN"/>
              </w:rPr>
              <w:t>服务中断事件数量≤1次</w:t>
            </w:r>
          </w:p>
          <w:p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eastAsia"/>
                <w:lang w:val="en-US" w:eastAsia="zh-CN"/>
              </w:rPr>
              <w:t>计算方式:统计期内导致服务不可用的事件发生次数</w:t>
            </w:r>
            <w:r>
              <w:rPr>
                <w:rFonts w:hint="default"/>
                <w:lang w:val="en-US" w:eastAsia="zh-CN"/>
              </w:rPr>
              <w:t>（考核频次：</w:t>
            </w:r>
            <w:r>
              <w:rPr>
                <w:rFonts w:hint="eastAsia"/>
                <w:lang w:val="en-US" w:eastAsia="zh-CN"/>
              </w:rPr>
              <w:t>月度</w:t>
            </w:r>
            <w:r>
              <w:rPr>
                <w:rFonts w:hint="default"/>
                <w:lang w:val="en-US" w:eastAsia="zh-CN"/>
              </w:rPr>
              <w:t>）</w:t>
            </w:r>
          </w:p>
        </w:tc>
        <w:tc>
          <w:tcPr>
            <w:tcW w:w="1944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1、从服务级别管理获得服务级别协议；</w:t>
            </w:r>
          </w:p>
          <w:p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2、从配置管理获取配置项信息；</w:t>
            </w:r>
          </w:p>
        </w:tc>
        <w:tc>
          <w:tcPr>
            <w:tcW w:w="1949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1、向容量管理提供灾难中或恢复阶段的服务容量需求 ， 如人员和资源的配给；</w:t>
            </w:r>
          </w:p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2、向变更管理提供可用性计划和连续性计划的变更请求；</w:t>
            </w:r>
          </w:p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 、向服务报告管理输出可用性和连续性管理数据</w:t>
            </w:r>
          </w:p>
        </w:tc>
      </w:tr>
      <w:tr>
        <w:tblPrEx>
          <w:tblW w:w="8641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容量管理</w:t>
            </w:r>
          </w:p>
        </w:tc>
        <w:tc>
          <w:tcPr>
            <w:tcW w:w="1752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对业务系统额定容量展开监控和处置，消除客户业务容量风险，确保公司提供的服务满足规 定 的 SLA ，确保客户业务系统的运行满足业务需求</w:t>
            </w:r>
          </w:p>
        </w:tc>
        <w:tc>
          <w:tcPr>
            <w:tcW w:w="1884" w:type="dxa"/>
            <w:shd w:val="clear" w:color="auto" w:fill="auto"/>
          </w:tcPr>
          <w:p>
            <w:pPr>
              <w:widowControl w:val="0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容量事件次数≤1次</w:t>
            </w:r>
          </w:p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计算方式:因容量不足导致的服务事件数量</w:t>
            </w:r>
          </w:p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（考核频次：</w:t>
            </w:r>
            <w:r>
              <w:rPr>
                <w:rFonts w:hint="eastAsia"/>
                <w:lang w:val="en-US" w:eastAsia="zh-CN"/>
              </w:rPr>
              <w:t>季度</w:t>
            </w:r>
            <w:r>
              <w:rPr>
                <w:rFonts w:hint="default"/>
                <w:lang w:val="en-US" w:eastAsia="zh-CN"/>
              </w:rPr>
              <w:t>）</w:t>
            </w:r>
          </w:p>
        </w:tc>
        <w:tc>
          <w:tcPr>
            <w:tcW w:w="1944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1、从服务级别管理获得服务级别协议；</w:t>
            </w:r>
          </w:p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2、从可用性和连续性管理获得容量需求；</w:t>
            </w:r>
          </w:p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3、向配置管理获取相关配置项信息；</w:t>
            </w:r>
          </w:p>
          <w:p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4、从事件管理获取因容量问题引发的事件</w:t>
            </w:r>
          </w:p>
        </w:tc>
        <w:tc>
          <w:tcPr>
            <w:tcW w:w="1949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、向变更管理提供容量管理变更请求；</w:t>
            </w:r>
          </w:p>
          <w:p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2 、向服务报告管理输出容量管理数据</w:t>
            </w:r>
          </w:p>
        </w:tc>
      </w:tr>
      <w:tr>
        <w:tblPrEx>
          <w:tblW w:w="8641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信息安全</w:t>
            </w:r>
          </w:p>
          <w:p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管理</w:t>
            </w:r>
          </w:p>
        </w:tc>
        <w:tc>
          <w:tcPr>
            <w:tcW w:w="1752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通过规范的信息</w:t>
            </w:r>
          </w:p>
          <w:p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安全管理，识别、评估并合理应对运维服务过程中的各类安全风险 ，降低信息安全风险影响</w:t>
            </w:r>
          </w:p>
        </w:tc>
        <w:tc>
          <w:tcPr>
            <w:tcW w:w="1884" w:type="dxa"/>
            <w:shd w:val="clear" w:color="auto" w:fill="auto"/>
          </w:tcPr>
          <w:p>
            <w:pPr>
              <w:widowControl w:val="0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信息泄露次数≤2次</w:t>
            </w:r>
          </w:p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计算方式:客户信息泄露的事件次数</w:t>
            </w:r>
          </w:p>
          <w:p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考核频次：</w:t>
            </w:r>
            <w:r>
              <w:rPr>
                <w:rFonts w:hint="eastAsia"/>
                <w:lang w:val="en-US" w:eastAsia="zh-CN"/>
              </w:rPr>
              <w:t>年度</w:t>
            </w:r>
          </w:p>
        </w:tc>
        <w:tc>
          <w:tcPr>
            <w:tcW w:w="1944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1、从服务级别管理获得关于信息安全管理的服务要求、法律法规和合同义务；</w:t>
            </w:r>
          </w:p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2、从配置管理获得配置项信息；</w:t>
            </w:r>
          </w:p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3、从变更管理中获得变更请求信息；</w:t>
            </w:r>
          </w:p>
          <w:p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4、从事件管理获得信息安全事件信息</w:t>
            </w:r>
          </w:p>
        </w:tc>
        <w:tc>
          <w:tcPr>
            <w:tcW w:w="1949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1、向变更管理提供信息安全风险及其影响的信息；</w:t>
            </w:r>
          </w:p>
          <w:p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2、向服务报告管理提供信息安全相关信息。</w:t>
            </w:r>
          </w:p>
        </w:tc>
      </w:tr>
    </w:tbl>
    <w:p>
      <w:pPr>
        <w:pStyle w:val="a1"/>
        <w:bidi w:val="0"/>
        <w:rPr>
          <w:rFonts w:hint="eastAsia"/>
          <w:lang w:val="en-US" w:eastAsia="zh-CN"/>
        </w:rPr>
      </w:pPr>
    </w:p>
    <w:sectPr>
      <w:head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肇庆市天鹰生物科技有限公司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2892</Words>
  <Characters>3149</Characters>
  <Application>Microsoft Office Word</Application>
  <DocSecurity>0</DocSecurity>
  <Lines>0</Lines>
  <Paragraphs>0</Paragraphs>
  <ScaleCrop>false</ScaleCrop>
  <Company/>
  <LinksUpToDate>false</LinksUpToDate>
  <CharactersWithSpaces>3348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2026-03-21T04:04:35Z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