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GoBack"/>
      <w:bookmarkStart w:id="1" w:name="_Toc2233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7746"/>
      <w:r>
        <w:rPr>
          <w:rFonts w:hint="eastAsia"/>
          <w:lang w:val="en-US" w:eastAsia="zh-CN"/>
        </w:rPr>
        <w:t>运维服务技术研发管理制度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技术研发部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_Toc22334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_Toc7746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运维服务技术研发管理制度</w:t>
          </w:r>
          <w:r>
            <w:tab/>
          </w:r>
          <w:r>
            <w:fldChar w:fldCharType="begin"/>
          </w:r>
          <w:r>
            <w:instrText xml:space="preserve"> PAGEREF _Toc7746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_Toc22441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_Toc22441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_Toc27851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_Toc25427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_Toc12318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_Toc514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_Toc18231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_Toc23527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技术研发部</w:t>
          </w:r>
          <w:r>
            <w:tab/>
          </w:r>
          <w:r>
            <w:fldChar w:fldCharType="begin"/>
          </w:r>
          <w:r>
            <w:instrText xml:space="preserve"> PAGEREF _Toc23527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_Toc29211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_Toc29211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_Toc28451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_Toc17363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_Toc603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运维工具</w:t>
          </w:r>
          <w:r>
            <w:tab/>
          </w:r>
          <w:r>
            <w:fldChar w:fldCharType="begin"/>
          </w:r>
          <w:r>
            <w:instrText xml:space="preserve"> PAGEREF _Toc28966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_Toc17683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产品基线</w:t>
          </w:r>
          <w:r>
            <w:tab/>
          </w:r>
          <w:r>
            <w:fldChar w:fldCharType="begin"/>
          </w:r>
          <w:r>
            <w:instrText xml:space="preserve"> PAGEREF _Toc17683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代码走查</w:t>
          </w:r>
          <w:r>
            <w:tab/>
          </w:r>
          <w:r>
            <w:fldChar w:fldCharType="begin"/>
          </w:r>
          <w:r>
            <w:instrText xml:space="preserve"> PAGEREF _Toc18965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_Toc21409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立项阶段</w:t>
          </w:r>
          <w:r>
            <w:tab/>
          </w:r>
          <w:r>
            <w:fldChar w:fldCharType="begin"/>
          </w:r>
          <w:r>
            <w:instrText xml:space="preserve"> PAGEREF _Toc23671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设计阶段</w:t>
          </w:r>
          <w:r>
            <w:tab/>
          </w:r>
          <w:r>
            <w:fldChar w:fldCharType="begin"/>
          </w:r>
          <w:r>
            <w:instrText xml:space="preserve"> PAGEREF _Toc17399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实现阶段</w:t>
          </w:r>
          <w:r>
            <w:tab/>
          </w:r>
          <w:r>
            <w:fldChar w:fldCharType="begin"/>
          </w:r>
          <w:r>
            <w:instrText xml:space="preserve"> PAGEREF _Toc28702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验证阶段</w:t>
          </w:r>
          <w:r>
            <w:tab/>
          </w:r>
          <w:r>
            <w:fldChar w:fldCharType="begin"/>
          </w:r>
          <w:r>
            <w:instrText xml:space="preserve"> PAGEREF _Toc18848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_Toc20840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发布阶段</w:t>
          </w:r>
          <w:r>
            <w:tab/>
          </w:r>
          <w:r>
            <w:fldChar w:fldCharType="begin"/>
          </w:r>
          <w:r>
            <w:instrText xml:space="preserve"> PAGEREF _Toc20840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_Toc12948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_Toc17716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_Toc19418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_Toc6536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3" w:name="_Toc22441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eastAsia"/>
          <w:lang w:val="en-US" w:eastAsia="zh-CN"/>
        </w:rPr>
      </w:pPr>
      <w:bookmarkStart w:id="4" w:name="_Toc27851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为规范公司内部运维工具的研发与管理，明确项目立项、设计、实现、验证及发布各阶段的要求，确保研发过程有序、可控、高效，其成果能有效提升运维服务能力与效率，特制定本制度。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25427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本制度适用于公司内部为提升运维自动化、智能化水平而发起的所有自研工具项目。涉及部门包括运维部、技术研发部、质量部、综合管理部。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12318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价值驱动原则：工具研发必须紧密围绕运维业务的实际需求与痛点，确保其交付物能产生实际业务价值。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质量内建原则：在研发全过程中嵌入质量保证活动，确保交付工具的功能、性能及稳定性。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协同共建原则：运维部作为需求方和最终用户，应全程参与；技术研发部作为实现方，应确保技术方案的先进与可靠；质量部负责全过程质量监督。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514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eastAsia"/>
          <w:lang w:val="en-US" w:eastAsia="zh-CN"/>
        </w:rPr>
      </w:pPr>
      <w:bookmarkStart w:id="8" w:name="_Toc18231"/>
      <w:r>
        <w:rPr>
          <w:rFonts w:hint="eastAsia"/>
          <w:lang w:val="en-US" w:eastAsia="zh-CN"/>
        </w:rPr>
        <w:t>运维部</w:t>
      </w:r>
      <w:bookmarkEnd w:id="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作为需求提出方和最终用户，负责提出工具需求、参与各阶段评审、组织用户验收测试（UAT）及试运行。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9" w:name="_Toc23527"/>
      <w:r>
        <w:rPr>
          <w:rFonts w:hint="eastAsia"/>
          <w:lang w:val="en-US" w:eastAsia="zh-CN"/>
        </w:rPr>
        <w:t>技术研发部</w:t>
      </w:r>
      <w:bookmarkEnd w:id="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作为研发责任主体，负责项目计划制定、技术方案设计、编码实现、集成测试及技术文档编制。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0" w:name="_Toc29211"/>
      <w:r>
        <w:rPr>
          <w:rFonts w:hint="eastAsia"/>
          <w:lang w:val="en-US" w:eastAsia="zh-CN"/>
        </w:rPr>
        <w:t>质量部</w:t>
      </w:r>
      <w:bookmarkEnd w:id="1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负责监督研发过程合规性，制定测试方案并组织系统测试，确保交付质量。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1" w:name="_Toc28451"/>
      <w:r>
        <w:rPr>
          <w:rFonts w:hint="eastAsia"/>
          <w:lang w:val="en-US" w:eastAsia="zh-CN"/>
        </w:rPr>
        <w:t>综合管理部</w:t>
      </w:r>
      <w:bookmarkEnd w:id="1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负责组织相关制度与规范的培训。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2" w:name="_Toc17363"/>
      <w:r>
        <w:rPr>
          <w:rFonts w:hint="eastAsia"/>
          <w:lang w:val="en-US" w:eastAsia="zh-CN"/>
        </w:rPr>
        <w:t>引用依据</w:t>
      </w:r>
      <w:bookmarkEnd w:id="12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本制度的制定遵循并引用以下国家标准与行业规范：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3" w:name="_Toc603"/>
      <w:r>
        <w:rPr>
          <w:rFonts w:hint="eastAsia"/>
          <w:lang w:val="en-US" w:eastAsia="zh-CN"/>
        </w:rPr>
        <w:t>定义与术语</w:t>
      </w:r>
      <w:bookmarkEnd w:id="13"/>
    </w:p>
    <w:p>
      <w:pPr>
        <w:pStyle w:val="2"/>
        <w:bidi w:val="0"/>
        <w:rPr>
          <w:rFonts w:hint="eastAsia"/>
          <w:lang w:val="en-US" w:eastAsia="zh-CN"/>
        </w:rPr>
      </w:pPr>
      <w:bookmarkStart w:id="14" w:name="_Toc28966"/>
      <w:r>
        <w:rPr>
          <w:rFonts w:hint="eastAsia"/>
          <w:lang w:val="en-US" w:eastAsia="zh-CN"/>
        </w:rPr>
        <w:t>运维工具</w:t>
      </w:r>
      <w:bookmarkEnd w:id="1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指由公司自主研发，用于支持信息系统运行维护活动的软件程序，旨在实现运维工作的自动化、规范化与可视化。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5" w:name="_Toc17683"/>
      <w:r>
        <w:rPr>
          <w:rFonts w:hint="eastAsia"/>
          <w:lang w:val="en-US" w:eastAsia="zh-CN"/>
        </w:rPr>
        <w:t>产品基线</w:t>
      </w:r>
      <w:bookmarkEnd w:id="1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指在发布阶段确定的、包含所有最终版本代码、文档及相关配置的集合，是后续部署、升级和维护的基准。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18965"/>
      <w:r>
        <w:rPr>
          <w:rFonts w:hint="eastAsia"/>
          <w:lang w:val="en-US" w:eastAsia="zh-CN"/>
        </w:rPr>
        <w:t>代码走查</w:t>
      </w:r>
      <w:bookmarkEnd w:id="1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一种由开发人员相互审查源代码，以发现缺陷、保证代码质量的静态测试方法。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7" w:name="_Toc21409"/>
      <w:r>
        <w:rPr>
          <w:rFonts w:hint="eastAsia"/>
          <w:lang w:val="en-US" w:eastAsia="zh-CN"/>
        </w:rPr>
        <w:t>管理内容与要求</w:t>
      </w:r>
      <w:bookmarkEnd w:id="17"/>
    </w:p>
    <w:p>
      <w:pPr>
        <w:pStyle w:val="2"/>
        <w:bidi w:val="0"/>
        <w:rPr>
          <w:rFonts w:hint="eastAsia"/>
          <w:lang w:val="en-US" w:eastAsia="zh-CN"/>
        </w:rPr>
      </w:pPr>
      <w:bookmarkStart w:id="18" w:name="_Toc23671"/>
      <w:r>
        <w:rPr>
          <w:rFonts w:hint="eastAsia"/>
          <w:lang w:val="en-US" w:eastAsia="zh-CN"/>
        </w:rPr>
        <w:t>立项阶段</w:t>
      </w:r>
      <w:bookmarkEnd w:id="18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输入：《运维工具需求调研报告》、《项目开发计划》、《项目立项书》。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过程要求：运维部需明确业务需求及预期效益；技术研发部需评估技术可行性并制定计划；最终需通过由技术研发部组织的立项评审。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输出与标准：形成经会签的《评审过程记录表》及相关立项文档。检查标准为《评审过程记录表》的完整会签与所有关键问题的闭环。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9" w:name="_Toc17399"/>
      <w:r>
        <w:rPr>
          <w:rFonts w:hint="eastAsia"/>
          <w:lang w:val="en-US" w:eastAsia="zh-CN"/>
        </w:rPr>
        <w:t>设计阶段</w:t>
      </w:r>
      <w:bookmarkEnd w:id="19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输入：《运维工具设计说明书》、《运维工具测试方案》。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过程要求：技术研发部需完成总体设计与详细设计；质量部需制定完整的测试策略；对关键技术必须完成验证。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输出与标准：形成经会签的《评审过程记录表》及相关设计文档。检查标准为技术方案经评审通过，且技术风险已确认可控。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0" w:name="_Toc28702"/>
      <w:r>
        <w:rPr>
          <w:rFonts w:hint="eastAsia"/>
          <w:lang w:val="en-US" w:eastAsia="zh-CN"/>
        </w:rPr>
        <w:t>实现阶段</w:t>
      </w:r>
      <w:bookmarkEnd w:id="20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输入：源代码文件、单元测试记录、集成测试记录。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过程要求：开发人员须遵循编码规范并完成单元测试；所有模块须成功集成；必须组织代码走查或评审。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输出与标准：形成可运行的集成版本及经会签的《评审过程记录表》。检查标准为代码评审通过且集成版本无阻塞性问题。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1" w:name="_Toc18848"/>
      <w:r>
        <w:rPr>
          <w:rFonts w:hint="eastAsia"/>
          <w:lang w:val="en-US" w:eastAsia="zh-CN"/>
        </w:rPr>
        <w:t>验证阶段</w:t>
      </w:r>
      <w:bookmarkEnd w:id="21"/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输入：《运维工具测试报告》、《工具使用说明书》、《工具部署手册》。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过程要求：质量部需完成系统测试并跟踪缺陷修复；运维部需完成试运行验证；相关用户文档必须编制完毕。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输出与标准：形成经会签的《评审过程记录表》及相关报告文档。检查标准为所有关键缺陷已关闭，且试运行结果满足发布要求。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2" w:name="_Toc20840"/>
      <w:r>
        <w:rPr>
          <w:rFonts w:hint="eastAsia"/>
          <w:lang w:val="en-US" w:eastAsia="zh-CN"/>
        </w:rPr>
        <w:t>发布阶段</w:t>
      </w:r>
      <w:bookmarkEnd w:id="22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输入：《项目总结报告》、全部最终交付物。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过程要求：所有交付物须提交至公司配置库形成产品基线；技术研发部需组织结项评审并进行项目复盘。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输出与标准：形成经会签的《评审过程记录表》及结项文档。检查标准为配置库中交付物齐套，且项目总结已完成。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2948"/>
      <w:r>
        <w:rPr>
          <w:rFonts w:hint="eastAsia"/>
          <w:lang w:val="en-US" w:eastAsia="zh-CN"/>
        </w:rPr>
        <w:t>考核指标</w:t>
      </w:r>
      <w:bookmarkEnd w:id="23"/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研发管理考核指标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研发资金投入率</w:t>
            </w:r>
          </w:p>
        </w:tc>
        <w:tc>
          <w:tcPr>
            <w:tcW w:w="363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" w:hAnsi="仿宋" w:cs="宋体" w:hint="eastAsia"/>
                <w:kern w:val="0"/>
                <w:sz w:val="21"/>
                <w:szCs w:val="21"/>
              </w:rPr>
              <w:t>（实际投入资金</w:t>
            </w:r>
            <w:r>
              <w:rPr>
                <w:rFonts w:ascii="仿宋" w:hAnsi="仿宋" w:cs="宋体"/>
                <w:kern w:val="0"/>
                <w:sz w:val="21"/>
                <w:szCs w:val="21"/>
              </w:rPr>
              <w:t>/</w:t>
            </w:r>
            <w:r>
              <w:rPr>
                <w:rFonts w:ascii="仿宋" w:hAnsi="仿宋" w:cs="宋体" w:hint="eastAsia"/>
                <w:kern w:val="0"/>
                <w:sz w:val="21"/>
                <w:szCs w:val="21"/>
              </w:rPr>
              <w:t>计划投入资金）</w:t>
            </w:r>
            <w:r>
              <w:rPr>
                <w:rFonts w:ascii="仿宋" w:hAnsi="仿宋" w:cs="宋体"/>
                <w:kern w:val="0"/>
                <w:sz w:val="21"/>
                <w:szCs w:val="21"/>
              </w:rPr>
              <w:t>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年度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0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%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24" w:name="_Toc17716"/>
      <w:r>
        <w:rPr>
          <w:rFonts w:hint="eastAsia"/>
          <w:lang w:val="en-US" w:eastAsia="zh-CN"/>
        </w:rPr>
        <w:t>附则</w:t>
      </w:r>
      <w:bookmarkEnd w:id="2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本制度最终解释权和修订权归技术研发部。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本制度自颁布之日起施行。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25" w:name="_Toc19418"/>
      <w:r>
        <w:rPr>
          <w:rFonts w:hint="eastAsia"/>
          <w:lang w:val="en-US" w:eastAsia="zh-CN"/>
        </w:rPr>
        <w:t>附件</w:t>
      </w:r>
      <w:bookmarkEnd w:id="25"/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《运维工具需求调研报告（模板）》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《项目立项书（模板）》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《项目开发计划（模板）》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《运维工具设计说明书（模板）》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《运维工具测试方案（模板）》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《运维工具测试报告（模板）》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《工具使用说明书（模板）》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《工具部署指导手册（模板）》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《项目总结报告（模板）》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26" w:name="_Toc6536"/>
      <w:r>
        <w:rPr>
          <w:rFonts w:hint="eastAsia"/>
          <w:lang w:val="en-US" w:eastAsia="zh-CN"/>
        </w:rPr>
        <w:t>记录</w:t>
      </w:r>
      <w:bookmarkEnd w:id="26"/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《评审过程记录表》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《代码走查记录表》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《配置库入库清单》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669E365"/>
    <w:multiLevelType w:val="singleLevel"/>
    <w:tmpl w:val="8669E36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F648049"/>
    <w:multiLevelType w:val="singleLevel"/>
    <w:tmpl w:val="9F64804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38FEFC6"/>
    <w:multiLevelType w:val="singleLevel"/>
    <w:tmpl w:val="C38FEFC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A09909B"/>
    <w:multiLevelType w:val="singleLevel"/>
    <w:tmpl w:val="FA09909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E577423"/>
    <w:multiLevelType w:val="singleLevel"/>
    <w:tmpl w:val="0E57742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DCC3EAE"/>
    <w:multiLevelType w:val="singleLevel"/>
    <w:tmpl w:val="1DCC3E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97583CD"/>
    <w:multiLevelType w:val="singleLevel"/>
    <w:tmpl w:val="397583C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5DC60F74"/>
    <w:multiLevelType w:val="singleLevel"/>
    <w:tmpl w:val="5DC60F7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E8198AC"/>
    <w:multiLevelType w:val="singleLevel"/>
    <w:tmpl w:val="6E8198A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3"/>
  </w:num>
  <w:num w:numId="5">
    <w:abstractNumId w:val="2"/>
  </w:num>
  <w:num w:numId="6">
    <w:abstractNumId w:val="8"/>
  </w:num>
  <w:num w:numId="7">
    <w:abstractNumId w:val="0"/>
  </w:num>
  <w:num w:numId="8">
    <w:abstractNumId w:val="5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1938</Words>
  <Characters>2122</Characters>
  <Application>Microsoft Office Word</Application>
  <DocSecurity>0</DocSecurity>
  <Lines>0</Lines>
  <Paragraphs>0</Paragraphs>
  <ScaleCrop>false</ScaleCrop>
  <Company/>
  <LinksUpToDate>false</LinksUpToDate>
  <CharactersWithSpaces>2239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