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9927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31830"/>
      <w:r>
        <w:rPr>
          <w:rFonts w:hint="eastAsia"/>
          <w:lang w:val="en-US" w:eastAsia="zh-CN"/>
        </w:rPr>
        <w:t>2025年1-12月运维服务技术研发报告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技术研发部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2.30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_Toc29927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_Toc29927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2025年1-12月运维服务技术研发报告</w:t>
          </w:r>
          <w:r>
            <w:tab/>
          </w:r>
          <w:r>
            <w:fldChar w:fldCharType="begin"/>
          </w:r>
          <w:r>
            <w:instrText xml:space="preserve"> PAGEREF _Toc31830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_Toc25908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_Toc25908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总体规划</w:t>
          </w:r>
          <w:r>
            <w:tab/>
          </w:r>
          <w:r>
            <w:fldChar w:fldCharType="begin"/>
          </w:r>
          <w:r>
            <w:instrText xml:space="preserve"> PAGEREF _Toc9741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禅道过程管理工具项目</w:t>
          </w:r>
          <w:r>
            <w:rPr>
              <w:rFonts w:hint="eastAsia"/>
              <w:lang w:val="en-US" w:eastAsia="zh-CN"/>
            </w:rPr>
            <w:t>二次开发</w:t>
          </w:r>
          <w:r>
            <w:tab/>
          </w:r>
          <w:r>
            <w:fldChar w:fldCharType="begin"/>
          </w:r>
          <w:r>
            <w:instrText xml:space="preserve"> PAGEREF _Toc18008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研发</w:t>
          </w:r>
          <w:r>
            <w:rPr>
              <w:rFonts w:hint="eastAsia"/>
              <w:lang w:val="en-US" w:eastAsia="zh-CN"/>
            </w:rPr>
            <w:t>成果</w:t>
          </w:r>
          <w:r>
            <w:tab/>
          </w:r>
          <w:r>
            <w:fldChar w:fldCharType="begin"/>
          </w:r>
          <w:r>
            <w:instrText xml:space="preserve"> PAGEREF _Toc32101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_Toc3870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3.1.1. 关键成效</w:t>
          </w:r>
          <w:r>
            <w:tab/>
          </w:r>
          <w:r>
            <w:fldChar w:fldCharType="begin"/>
          </w:r>
          <w:r>
            <w:instrText xml:space="preserve"> PAGEREF _Toc3870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成果描述</w:t>
          </w:r>
          <w:r>
            <w:tab/>
          </w:r>
          <w:r>
            <w:fldChar w:fldCharType="begin"/>
          </w:r>
          <w:r>
            <w:instrText xml:space="preserve"> PAGEREF _Toc31045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_Toc20754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3.2.1. </w:t>
          </w:r>
          <w:r>
            <w:rPr>
              <w:rFonts w:hint="eastAsia"/>
              <w:lang w:val="en-US" w:eastAsia="zh-CN"/>
            </w:rPr>
            <w:t>工作流首页</w:t>
          </w:r>
          <w:r>
            <w:tab/>
          </w:r>
          <w:r>
            <w:fldChar w:fldCharType="begin"/>
          </w:r>
          <w:r>
            <w:instrText xml:space="preserve"> PAGEREF _Toc20754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_Toc27220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3.2.2. </w:t>
          </w:r>
          <w:r>
            <w:rPr>
              <w:rFonts w:hint="eastAsia"/>
              <w:lang w:val="en-US" w:eastAsia="zh-CN"/>
            </w:rPr>
            <w:t>新增审批流</w:t>
          </w:r>
          <w:r>
            <w:tab/>
          </w:r>
          <w:r>
            <w:fldChar w:fldCharType="begin"/>
          </w:r>
          <w:r>
            <w:instrText xml:space="preserve"> PAGEREF _Toc27220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_Toc21055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3.2.3. </w:t>
          </w:r>
          <w:r>
            <w:rPr>
              <w:rFonts w:hint="eastAsia"/>
              <w:lang w:val="en-US" w:eastAsia="zh-CN"/>
            </w:rPr>
            <w:t>设计审批流</w:t>
          </w:r>
          <w:r>
            <w:tab/>
          </w:r>
          <w:r>
            <w:fldChar w:fldCharType="begin"/>
          </w:r>
          <w:r>
            <w:instrText xml:space="preserve"> PAGEREF _Toc21055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3.2.4. </w:t>
          </w:r>
          <w:r>
            <w:rPr>
              <w:rFonts w:hint="eastAsia"/>
              <w:lang w:val="en-US" w:eastAsia="zh-CN"/>
            </w:rPr>
            <w:t>项目评审</w:t>
          </w:r>
          <w:r>
            <w:tab/>
          </w:r>
          <w:r>
            <w:fldChar w:fldCharType="begin"/>
          </w:r>
          <w:r>
            <w:instrText xml:space="preserve"> PAGEREF _Toc32343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_Toc4536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3.2.5. </w:t>
          </w:r>
          <w:r>
            <w:rPr>
              <w:rFonts w:hint="eastAsia"/>
              <w:lang w:val="en-US" w:eastAsia="zh-CN"/>
            </w:rPr>
            <w:t>评审进度</w:t>
          </w:r>
          <w:r>
            <w:tab/>
          </w:r>
          <w:r>
            <w:fldChar w:fldCharType="begin"/>
          </w:r>
          <w:r>
            <w:instrText xml:space="preserve"> PAGEREF _Toc4536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研发团队</w:t>
          </w:r>
          <w:r>
            <w:tab/>
          </w:r>
          <w:r>
            <w:fldChar w:fldCharType="begin"/>
          </w:r>
          <w:r>
            <w:instrText xml:space="preserve"> PAGEREF _Toc1798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_Toc30077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研发</w:t>
          </w:r>
          <w:r>
            <w:rPr>
              <w:rFonts w:hint="eastAsia"/>
              <w:lang w:val="en-US" w:eastAsia="zh-CN"/>
            </w:rPr>
            <w:t>环境</w:t>
          </w:r>
          <w:r>
            <w:tab/>
          </w:r>
          <w:r>
            <w:fldChar w:fldCharType="begin"/>
          </w:r>
          <w:r>
            <w:instrText xml:space="preserve"> PAGEREF _Toc30077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研发</w:t>
          </w:r>
          <w:r>
            <w:rPr>
              <w:rFonts w:hint="eastAsia"/>
              <w:lang w:val="en-US" w:eastAsia="zh-CN"/>
            </w:rPr>
            <w:t>进度</w:t>
          </w:r>
          <w:r>
            <w:tab/>
          </w:r>
          <w:r>
            <w:fldChar w:fldCharType="begin"/>
          </w:r>
          <w:r>
            <w:instrText xml:space="preserve"> PAGEREF _Toc26851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_Toc5247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运维服务手册研发成果</w:t>
          </w:r>
          <w:r>
            <w:tab/>
          </w:r>
          <w:r>
            <w:fldChar w:fldCharType="begin"/>
          </w:r>
          <w:r>
            <w:instrText xml:space="preserve"> PAGEREF _Toc5247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_Toc31149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研发经费</w:t>
          </w:r>
          <w:r>
            <w:tab/>
          </w:r>
          <w:r>
            <w:fldChar w:fldCharType="begin"/>
          </w:r>
          <w:r>
            <w:instrText xml:space="preserve"> PAGEREF _Toc31149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新技术研发</w:t>
          </w:r>
          <w:r>
            <w:tab/>
          </w:r>
          <w:r>
            <w:fldChar w:fldCharType="begin"/>
          </w:r>
          <w:r>
            <w:instrText xml:space="preserve"> PAGEREF _Toc26064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25908"/>
      <w:r>
        <w:rPr>
          <w:rFonts w:hint="default"/>
          <w:lang w:val="en-US" w:eastAsia="zh-CN"/>
        </w:rPr>
        <w:t>概述</w:t>
      </w:r>
      <w:bookmarkEnd w:id="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有效支撑公司运维服务能力成熟度（ITSS三级）的认证与持续提升，我公司于2025年启动了以“禅道过程管理工具二次开发”为核心的运维研发技术规划。项目旨在通过构建统一的过程管理平台与配套知识体系，解决流程线下执行不透明、协作效率低、过程数据难统计的痛点，并布局未来技术竞争力。目前，项目已按计划完成全部研发与部署工作，达成预期目标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9741"/>
      <w:r>
        <w:rPr>
          <w:rFonts w:hint="default"/>
          <w:lang w:val="en-US" w:eastAsia="zh-CN"/>
        </w:rPr>
        <w:t>总体规划</w:t>
      </w:r>
      <w:bookmarkEnd w:id="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基于开源禅道平台，进行以工作流引擎定制为核心的二次开发。规划通过配置与开发，在禅道中构建与公司制度完全匹配的运维过程模型，实现任务状态、流转规则、角色权限的精细控制，打通跨部门协同壁垒，形成覆盖服务全生命周期的线上管理闭环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同时，为固化运维服务标准、促进知识传承并满足ITSS体系文件要求，本项目将同步启动</w:t>
      </w:r>
      <w:r>
        <w:rPr>
          <w:rFonts w:hint="eastAsia"/>
          <w:lang w:val="en-US" w:eastAsia="zh-CN"/>
        </w:rPr>
        <w:t>运维手册</w:t>
      </w:r>
      <w:r>
        <w:rPr>
          <w:rFonts w:hint="default"/>
          <w:lang w:val="en-US" w:eastAsia="zh-CN"/>
        </w:rPr>
        <w:t>的编撰工作。该手册将与禅道系统中的线上流程互为支撑，共同构成公司运维服务管理的核心资产。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8008"/>
      <w:r>
        <w:rPr>
          <w:rFonts w:hint="default"/>
          <w:lang w:val="en-US" w:eastAsia="zh-CN"/>
        </w:rPr>
        <w:t>禅道过程管理工具项目</w:t>
      </w:r>
      <w:r>
        <w:rPr>
          <w:rFonts w:hint="eastAsia"/>
          <w:lang w:val="en-US" w:eastAsia="zh-CN"/>
        </w:rPr>
        <w:t>二次开发</w:t>
      </w:r>
      <w:bookmarkEnd w:id="4"/>
    </w:p>
    <w:p>
      <w:pPr>
        <w:pStyle w:val="2"/>
        <w:bidi w:val="0"/>
        <w:rPr>
          <w:rFonts w:hint="default"/>
          <w:lang w:val="en-US" w:eastAsia="zh-CN"/>
        </w:rPr>
      </w:pPr>
      <w:bookmarkStart w:id="5" w:name="_Toc32101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成果</w:t>
      </w:r>
      <w:bookmarkEnd w:id="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基于禅道系统定制开发的审批流引擎已稳定运行，实现了与公司管理制度完全匹配的电子审批流程。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6" w:name="_Toc3870"/>
      <w:r>
        <w:rPr>
          <w:rFonts w:hint="default"/>
          <w:lang w:val="en-US" w:eastAsia="zh-CN"/>
        </w:rPr>
        <w:t>关键成效</w:t>
      </w:r>
      <w:bookmarkEnd w:id="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审批路径强制固化：成功将“变更管理”、“资源申请”等关键审批流程在系统中固化为唯一执行路径，确保了所有操作必经规定审批环节，从技术上杜绝了越权与违规操作。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流转过程自动驱动：实现了任务在提交、驳回后的自动流转，系统能精准推送待办事项至下一审批人，平均审批等待时间缩短约70%。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权限与视图精准管控：根据不同审批环节，精确设定了审批人的操作权限（如通过、驳回、加签）与数据视图，确保了审批过程的权责对等与信息安全。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全过程数据记录：系统完整记录了每一次审批的经办人、时间节点、审批意见与最终结论，形成了不可篡改的审计线索，实现了100%的审批记录可追溯。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" w:name="_Toc31045"/>
      <w:r>
        <w:rPr>
          <w:rFonts w:hint="default"/>
          <w:lang w:val="en-US" w:eastAsia="zh-CN"/>
        </w:rPr>
        <w:t>成果描述</w:t>
      </w:r>
      <w:bookmarkEnd w:id="7"/>
    </w:p>
    <w:p>
      <w:pPr>
        <w:pStyle w:val="3"/>
        <w:bidi w:val="0"/>
        <w:rPr>
          <w:rFonts w:hint="eastAsia"/>
          <w:lang w:val="en-US" w:eastAsia="zh-CN"/>
        </w:rPr>
      </w:pPr>
      <w:bookmarkStart w:id="8" w:name="_Toc20754"/>
      <w:r>
        <w:rPr>
          <w:rFonts w:hint="eastAsia"/>
          <w:lang w:val="en-US" w:eastAsia="zh-CN"/>
        </w:rPr>
        <w:t>工作流首页</w:t>
      </w:r>
      <w:bookmarkEnd w:id="8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工作流导航栏可进入审批流，可以分别设置审批流和审批角色，如图3-1所示。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首页导航栏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1407160"/>
            <wp:effectExtent l="0" t="0" r="6985" b="2540"/>
            <wp:docPr id="3" name="图片 3" descr="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首页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9" w:name="_Toc27220"/>
      <w:bookmarkStart w:id="10" w:name="_GoBack"/>
      <w:bookmarkEnd w:id="10"/>
      <w:r>
        <w:rPr>
          <w:rFonts w:hint="eastAsia"/>
          <w:lang w:val="en-US" w:eastAsia="zh-CN"/>
        </w:rPr>
        <w:t>新增审批流</w:t>
      </w:r>
      <w:bookmarkEnd w:id="9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进入到审批页面后，可以通过创建审批流按钮来新增审批流程，如图3-2所示。也可以修改已经创建的审批流。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新增审批流</w:t>
      </w:r>
    </w:p>
    <w:p>
      <w:pPr>
        <w:pStyle w:val="a1"/>
      </w:pPr>
      <w:r>
        <w:drawing>
          <wp:inline distT="0" distB="0" distL="114300" distR="114300">
            <wp:extent cx="4742815" cy="2957830"/>
            <wp:effectExtent l="0" t="0" r="635" b="139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在新增审批流时，必须要填写审批流名称，完善功能，使得可以绑定工作流，如图3-3所示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填写审批流信息</w:t>
      </w:r>
    </w:p>
    <w:p>
      <w:pPr>
        <w:pStyle w:val="a1"/>
        <w:ind w:left="0" w:right="0" w:firstLine="0" w:leftChars="0" w:rightChars="0" w:firstLineChars="0"/>
        <w:jc w:val="center"/>
      </w:pPr>
      <w:r>
        <w:drawing>
          <wp:inline distT="0" distB="0" distL="114300" distR="114300">
            <wp:extent cx="4261485" cy="2675890"/>
            <wp:effectExtent l="0" t="0" r="5715" b="1016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1485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审批流列表，可以查看更新增的审批流，如图3-4所示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审批流列表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1076960"/>
            <wp:effectExtent l="0" t="0" r="8890" b="8890"/>
            <wp:docPr id="7" name="图片 7" descr="审批流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审批流列表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11" w:name="_Toc21055"/>
      <w:r>
        <w:rPr>
          <w:rFonts w:hint="eastAsia"/>
          <w:lang w:val="en-US" w:eastAsia="zh-CN"/>
        </w:rPr>
        <w:t>设计审批流</w:t>
      </w:r>
      <w:bookmarkEnd w:id="11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完善审批流节点，审批流各个节点支持自定义设计，如图3-5为抄送人设置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审批抄送人选择</w:t>
      </w:r>
    </w:p>
    <w:p>
      <w:pPr>
        <w:pStyle w:val="a1"/>
        <w:ind w:left="0" w:right="0" w:firstLine="0" w:leftChars="0" w:rightChars="0" w:firstLineChars="0"/>
        <w:jc w:val="center"/>
      </w:pPr>
      <w:r>
        <w:drawing>
          <wp:inline distT="0" distB="0" distL="114300" distR="114300">
            <wp:extent cx="2456180" cy="2209165"/>
            <wp:effectExtent l="0" t="0" r="1270" b="63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</w:p>
    <w:p>
      <w:pPr>
        <w:pStyle w:val="a1"/>
        <w:ind w:left="0" w:right="0" w:firstLine="0" w:leftChars="0" w:rightChars="0" w:firstLineChars="0"/>
        <w:jc w:val="center"/>
      </w:pPr>
      <w:r>
        <w:drawing>
          <wp:inline distT="0" distB="0" distL="114300" distR="114300">
            <wp:extent cx="5264150" cy="1304925"/>
            <wp:effectExtent l="0" t="0" r="12700" b="952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ind w:left="0" w:right="0" w:firstLine="0" w:leftChars="0" w:rightChars="0" w:firstLineChars="0"/>
        <w:jc w:val="center"/>
      </w:pP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如果默认节点不符合现有流程，可以通过自定义节点对审批流程进行完善，如图3-6为审批节点设置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其中包括标题、审批类型、审批人、操作权限等基础信息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审批流节点设置</w:t>
      </w:r>
    </w:p>
    <w:p>
      <w:pPr>
        <w:pStyle w:val="a1"/>
        <w:bidi w:val="0"/>
      </w:pPr>
      <w:r>
        <w:drawing>
          <wp:inline distT="0" distB="0" distL="114300" distR="114300">
            <wp:extent cx="5265420" cy="1840865"/>
            <wp:effectExtent l="0" t="0" r="11430" b="698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12" w:name="_Toc32343"/>
      <w:r>
        <w:rPr>
          <w:rFonts w:hint="eastAsia"/>
          <w:lang w:val="en-US" w:eastAsia="zh-CN"/>
        </w:rPr>
        <w:t>项目评审</w:t>
      </w:r>
      <w:bookmarkEnd w:id="12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完善项目评审流程，可以对项目节点单独进行评审，如图3-7所示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项目节点评审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555875"/>
            <wp:effectExtent l="0" t="0" r="6985" b="1587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13" w:name="_Toc4536"/>
      <w:r>
        <w:rPr>
          <w:rFonts w:hint="eastAsia"/>
          <w:lang w:val="en-US" w:eastAsia="zh-CN"/>
        </w:rPr>
        <w:t>评审进度</w:t>
      </w:r>
      <w:bookmarkEnd w:id="1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支持项目节点评审进度查看，如图3-8所示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项目评审进度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886325" cy="2009775"/>
            <wp:effectExtent l="0" t="0" r="9525" b="952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75835" cy="2887345"/>
            <wp:effectExtent l="0" t="0" r="5715" b="8255"/>
            <wp:docPr id="14" name="图片 14" descr="审批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审批流程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583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待评审列表可以用于查看所有待我审批的工作流，支持权限控制，如图3-9所示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9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待评审列表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631950"/>
            <wp:effectExtent l="0" t="0" r="7620" b="635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1798"/>
      <w:r>
        <w:rPr>
          <w:rFonts w:hint="default"/>
          <w:lang w:val="en-US" w:eastAsia="zh-CN"/>
        </w:rPr>
        <w:t>研发团队</w:t>
      </w:r>
      <w:bookmarkEnd w:id="1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公司实际情况，为保质保量的完成运维工具研发工作，根据研发计划配置人员如下：技术研发部3人，其中技术研发部经理1名，开发工程师1名，需求分析师1名，质量部经理1名，运维项目经理1名，各岗及时到位，为研发工作的有序开展提供了有力保障。运维工具研发团队人员配置信息如表3-1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人员配置表</w:t>
      </w:r>
    </w:p>
    <w:tbl>
      <w:tblPr>
        <w:tblStyle w:val="TableGrid"/>
        <w:tblW w:w="86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1746"/>
        <w:gridCol w:w="4948"/>
      </w:tblGrid>
      <w:tr>
        <w:tblPrEx>
          <w:tblW w:w="861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职位名称</w:t>
            </w:r>
          </w:p>
        </w:tc>
        <w:tc>
          <w:tcPr>
            <w:tcW w:w="174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所属部门</w:t>
            </w:r>
          </w:p>
        </w:tc>
        <w:tc>
          <w:tcPr>
            <w:tcW w:w="4948" w:type="dxa"/>
          </w:tcPr>
          <w:p>
            <w:pPr>
              <w:pStyle w:val="a1"/>
              <w:widowControl w:val="0"/>
              <w:ind w:right="0" w:right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职责描述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技术研发部经理</w:t>
            </w:r>
          </w:p>
        </w:tc>
        <w:tc>
          <w:tcPr>
            <w:tcW w:w="174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技术研发部</w:t>
            </w:r>
          </w:p>
        </w:tc>
        <w:tc>
          <w:tcPr>
            <w:tcW w:w="494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总体规划研发进度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开发工程师</w:t>
            </w:r>
          </w:p>
        </w:tc>
        <w:tc>
          <w:tcPr>
            <w:tcW w:w="174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技术研发部</w:t>
            </w:r>
          </w:p>
        </w:tc>
        <w:tc>
          <w:tcPr>
            <w:tcW w:w="494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编码、单元测试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74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494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总体规划项目进度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74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</w:t>
            </w:r>
          </w:p>
        </w:tc>
        <w:tc>
          <w:tcPr>
            <w:tcW w:w="494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跟进研发质量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需求分析师</w:t>
            </w:r>
          </w:p>
        </w:tc>
        <w:tc>
          <w:tcPr>
            <w:tcW w:w="174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技术研发部</w:t>
            </w:r>
          </w:p>
        </w:tc>
        <w:tc>
          <w:tcPr>
            <w:tcW w:w="494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收集、分析各运维部门需求，并生成需求报告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5" w:name="_Toc30077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环境</w:t>
      </w:r>
      <w:bookmarkEnd w:id="1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研发所需环境如表3-2所示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根据研发计划，按时、到位完成开发环境与生产环境部署。各环境完成情况如表3-2所示。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环境需求到位表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024"/>
        <w:gridCol w:w="1650"/>
        <w:gridCol w:w="2037"/>
        <w:gridCol w:w="2037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资源名称</w:t>
            </w:r>
          </w:p>
        </w:tc>
        <w:tc>
          <w:tcPr>
            <w:tcW w:w="1024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级别</w:t>
            </w:r>
          </w:p>
        </w:tc>
        <w:tc>
          <w:tcPr>
            <w:tcW w:w="165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详细配置</w:t>
            </w:r>
          </w:p>
        </w:tc>
        <w:tc>
          <w:tcPr>
            <w:tcW w:w="2037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获取方式</w:t>
            </w:r>
          </w:p>
        </w:tc>
        <w:tc>
          <w:tcPr>
            <w:tcW w:w="2037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完成时间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开发环境</w:t>
            </w:r>
          </w:p>
        </w:tc>
        <w:tc>
          <w:tcPr>
            <w:tcW w:w="1024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65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PHP+MySQL</w:t>
            </w:r>
          </w:p>
        </w:tc>
        <w:tc>
          <w:tcPr>
            <w:tcW w:w="2037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开发服务器部署</w:t>
            </w:r>
          </w:p>
        </w:tc>
        <w:tc>
          <w:tcPr>
            <w:tcW w:w="2037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2025.4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生产环境</w:t>
            </w:r>
          </w:p>
        </w:tc>
        <w:tc>
          <w:tcPr>
            <w:tcW w:w="1024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65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云服务器</w:t>
            </w:r>
          </w:p>
        </w:tc>
        <w:tc>
          <w:tcPr>
            <w:tcW w:w="2037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购买云服务器</w:t>
            </w:r>
          </w:p>
        </w:tc>
        <w:tc>
          <w:tcPr>
            <w:tcW w:w="2037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版本控制工具</w:t>
            </w:r>
          </w:p>
        </w:tc>
        <w:tc>
          <w:tcPr>
            <w:tcW w:w="1024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65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Github</w:t>
            </w:r>
          </w:p>
        </w:tc>
        <w:tc>
          <w:tcPr>
            <w:tcW w:w="2037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开源，可用</w:t>
            </w:r>
          </w:p>
        </w:tc>
        <w:tc>
          <w:tcPr>
            <w:tcW w:w="2037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开源、可用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6" w:name="_Toc26851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进度</w:t>
      </w:r>
      <w:bookmarkEnd w:id="1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研发进度如表3-3所示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为更好更快的完成运维工具开发工作，依据运维工具研发管理制度对研发过程进行拆解，使得研发工作更加稳定有序。研发进度表如3-3所示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研发进度表</w:t>
      </w:r>
    </w:p>
    <w:tbl>
      <w:tblPr>
        <w:tblStyle w:val="TableGrid"/>
        <w:tblW w:w="76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271"/>
        <w:gridCol w:w="2912"/>
        <w:gridCol w:w="2059"/>
      </w:tblGrid>
      <w:tr>
        <w:tblPrEx>
          <w:tblW w:w="7667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研发阶段</w:t>
            </w:r>
          </w:p>
        </w:tc>
        <w:tc>
          <w:tcPr>
            <w:tcW w:w="127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计划时间</w:t>
            </w:r>
          </w:p>
        </w:tc>
        <w:tc>
          <w:tcPr>
            <w:tcW w:w="2912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工作内容</w:t>
            </w:r>
          </w:p>
        </w:tc>
        <w:tc>
          <w:tcPr>
            <w:tcW w:w="205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完成情况</w:t>
            </w:r>
          </w:p>
        </w:tc>
      </w:tr>
      <w:tr>
        <w:tblPrEx>
          <w:tblW w:w="766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流程模型设计</w:t>
            </w:r>
          </w:p>
        </w:tc>
        <w:tc>
          <w:tcPr>
            <w:tcW w:w="127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2025.4</w:t>
            </w:r>
          </w:p>
        </w:tc>
        <w:tc>
          <w:tcPr>
            <w:tcW w:w="2912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收集运维相关部门的需求，进行分析，生成工作流业务模型，状态图、</w:t>
            </w:r>
          </w:p>
        </w:tc>
        <w:tc>
          <w:tcPr>
            <w:tcW w:w="2059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766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开发、配置</w:t>
            </w:r>
          </w:p>
        </w:tc>
        <w:tc>
          <w:tcPr>
            <w:tcW w:w="127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2025.5-7</w:t>
            </w:r>
          </w:p>
        </w:tc>
        <w:tc>
          <w:tcPr>
            <w:tcW w:w="2912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开发自定义工作流</w:t>
            </w:r>
          </w:p>
        </w:tc>
        <w:tc>
          <w:tcPr>
            <w:tcW w:w="2059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766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测试、优化</w:t>
            </w:r>
          </w:p>
        </w:tc>
        <w:tc>
          <w:tcPr>
            <w:tcW w:w="127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2912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进行单元、集成测试，修改BUG</w:t>
            </w:r>
          </w:p>
        </w:tc>
        <w:tc>
          <w:tcPr>
            <w:tcW w:w="2059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766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试运行</w:t>
            </w:r>
          </w:p>
        </w:tc>
        <w:tc>
          <w:tcPr>
            <w:tcW w:w="127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2912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优先在运维部试运行，监测使用效果，提出改进意见</w:t>
            </w:r>
          </w:p>
        </w:tc>
        <w:tc>
          <w:tcPr>
            <w:tcW w:w="2059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766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正式运行</w:t>
            </w:r>
          </w:p>
        </w:tc>
        <w:tc>
          <w:tcPr>
            <w:tcW w:w="127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2025.11</w:t>
            </w:r>
          </w:p>
        </w:tc>
        <w:tc>
          <w:tcPr>
            <w:tcW w:w="2912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技术研发部对系统进行完售后正式上线</w:t>
            </w:r>
          </w:p>
        </w:tc>
        <w:tc>
          <w:tcPr>
            <w:tcW w:w="2059" w:type="dxa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7" w:name="_Toc5247"/>
      <w:r>
        <w:rPr>
          <w:rFonts w:hint="eastAsia"/>
          <w:lang w:val="en-US" w:eastAsia="zh-CN"/>
        </w:rPr>
        <w:t>运维服务手册研发成果</w:t>
      </w:r>
      <w:bookmarkEnd w:id="17"/>
    </w:p>
    <w:p>
      <w:pPr>
        <w:pStyle w:val="a1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本次规划的手册研发任务已全部按期完成。我们成功编撰并发布了三个核心领域的标准化手册，形成了公司第一代运维</w:t>
      </w:r>
      <w:r>
        <w:rPr>
          <w:rFonts w:hint="eastAsia"/>
          <w:lang w:val="en-US" w:eastAsia="zh-CN"/>
        </w:rPr>
        <w:t>服务</w:t>
      </w:r>
      <w:r>
        <w:rPr>
          <w:rFonts w:hint="default"/>
          <w:lang w:val="en-US" w:eastAsia="zh-CN"/>
        </w:rPr>
        <w:t>知识的骨干内容。这些手册已正式投入日常使用，并在团队培训与技术实践中发挥了重要作用。</w:t>
      </w:r>
      <w:r>
        <w:rPr>
          <w:rFonts w:hint="eastAsia"/>
          <w:lang w:val="en-US" w:eastAsia="zh-CN"/>
        </w:rPr>
        <w:t>运维手册完成情况如表4-1所示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运维手册研发表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3266"/>
        <w:gridCol w:w="1665"/>
        <w:gridCol w:w="1665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3266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手册名称</w:t>
            </w:r>
          </w:p>
        </w:tc>
        <w:tc>
          <w:tcPr>
            <w:tcW w:w="1665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计划时间</w:t>
            </w:r>
          </w:p>
        </w:tc>
        <w:tc>
          <w:tcPr>
            <w:tcW w:w="1665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b/>
                <w:bCs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完成情况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Docker安装nginx</w:t>
            </w:r>
          </w:p>
        </w:tc>
        <w:tc>
          <w:tcPr>
            <w:tcW w:w="1665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</w:tc>
        <w:tc>
          <w:tcPr>
            <w:tcW w:w="1665" w:type="dxa"/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Jenkins构建java项目（分布式）</w:t>
            </w:r>
          </w:p>
        </w:tc>
        <w:tc>
          <w:tcPr>
            <w:tcW w:w="1665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2025.7</w:t>
            </w:r>
          </w:p>
        </w:tc>
        <w:tc>
          <w:tcPr>
            <w:tcW w:w="1665" w:type="dxa"/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Jenkins构建前端项目（分布式）</w:t>
            </w:r>
          </w:p>
        </w:tc>
        <w:tc>
          <w:tcPr>
            <w:tcW w:w="1665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1665" w:type="dxa"/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研发手册如图所示：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运维手册</w:t>
      </w:r>
    </w:p>
    <w:p>
      <w:pPr>
        <w:pStyle w:val="a1"/>
        <w:bidi w:val="0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306830"/>
            <wp:effectExtent l="0" t="0" r="444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"/>
        <w:bidi w:val="0"/>
        <w:rPr>
          <w:rFonts w:hint="default"/>
          <w:lang w:val="en-US" w:eastAsia="zh-CN"/>
        </w:rPr>
      </w:pPr>
      <w:bookmarkStart w:id="18" w:name="_Toc31149"/>
      <w:r>
        <w:rPr>
          <w:rFonts w:hint="eastAsia"/>
          <w:lang w:val="en-US" w:eastAsia="zh-CN"/>
        </w:rPr>
        <w:t>研发经费</w:t>
      </w:r>
      <w:bookmarkEnd w:id="18"/>
    </w:p>
    <w:p>
      <w:pPr>
        <w:pStyle w:val="a1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本次研发包含工作流定制开发与运维手册研发两部分，预算总额为</w:t>
      </w:r>
      <w:r>
        <w:rPr>
          <w:rFonts w:hint="eastAsia"/>
          <w:lang w:val="en-US" w:eastAsia="zh-CN"/>
        </w:rPr>
        <w:t>20.3</w:t>
      </w:r>
      <w:r>
        <w:rPr>
          <w:rFonts w:hint="default"/>
          <w:lang w:val="en-US" w:eastAsia="zh-CN"/>
        </w:rPr>
        <w:t>万元。</w:t>
      </w:r>
      <w:r>
        <w:rPr>
          <w:rFonts w:hint="eastAsia"/>
          <w:lang w:val="en-US" w:eastAsia="zh-CN"/>
        </w:rPr>
        <w:t>具体使用情况如表5-1所示。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项目经费使用表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3575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3575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开支项目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金额（万元）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人力资源成本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测试与授权费用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手册研发成本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1.8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总计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20.3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9" w:name="_Toc26064"/>
      <w:r>
        <w:rPr>
          <w:rFonts w:hint="eastAsia"/>
          <w:lang w:val="en-US" w:eastAsia="zh-CN"/>
        </w:rPr>
        <w:t>新技术研发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截至目前，新技术预研工作已按计划完成第一阶段的核心任务，成功搭建了AIOps原型演示环境，并在智能告警收敛这一关键能力上实现了概念验证，验证了其与现有禅道流程平台集成的技术可行性。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告警收敛引擎：开发并验证了告警关联分析算法。该引擎能够将监控系统上报的海量、重复的告警事件，根据业务拓扑、时间窗口和故障传播路径进行智能聚合，成功将模拟的告警风暴事件数量压缩了85%以上，精准定位到少数几个根源事件。</w:t>
      </w:r>
    </w:p>
    <w:sectPr>
      <w:headerReference w:type="default" r:id="rId1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EFE97EC"/>
    <w:multiLevelType w:val="singleLevel"/>
    <w:tmpl w:val="EEFE97E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9320EFE"/>
    <w:multiLevelType w:val="singleLevel"/>
    <w:tmpl w:val="29320EF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jpe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header" Target="header1.xml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numbering" Target="numbering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jpe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2475</Words>
  <Characters>2781</Characters>
  <Application>Microsoft Office Word</Application>
  <DocSecurity>0</DocSecurity>
  <Lines>0</Lines>
  <Paragraphs>0</Paragraphs>
  <ScaleCrop>false</ScaleCrop>
  <Company/>
  <LinksUpToDate>false</LinksUpToDate>
  <CharactersWithSpaces>2880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2026-03-22T05:29:07Z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