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26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0939"/>
      <w:r>
        <w:rPr>
          <w:rFonts w:hint="eastAsia"/>
          <w:lang w:val="en-US" w:eastAsia="zh-CN"/>
        </w:rPr>
        <w:t>供应商管理制度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</w:t>
            </w:r>
            <w:bookmarkStart w:id="2" w:name="_GoBack"/>
            <w:bookmarkEnd w:id="2"/>
            <w:r>
              <w:rPr>
                <w:rFonts w:hint="eastAsia"/>
                <w:u w:val="single"/>
                <w:vertAlign w:val="baseline"/>
                <w:lang w:val="en-US" w:eastAsia="zh-CN"/>
              </w:rPr>
              <w:t>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8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新增应急采购</w:t>
            </w:r>
          </w:p>
        </w:tc>
        <w:tc>
          <w:tcPr>
            <w:tcW w:w="1240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_Toc28260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_Toc30939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_Toc17409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_Toc7837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_Toc10127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_Toc7067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引用依据与关联文件</w:t>
          </w:r>
          <w:r>
            <w:tab/>
          </w:r>
          <w:r>
            <w:fldChar w:fldCharType="begin"/>
          </w:r>
          <w:r>
            <w:instrText xml:space="preserve"> PAGEREF _Toc18241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_Toc20388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采购部</w:t>
          </w:r>
          <w:r>
            <w:tab/>
          </w:r>
          <w:r>
            <w:fldChar w:fldCharType="begin"/>
          </w:r>
          <w:r>
            <w:instrText xml:space="preserve"> PAGEREF _Toc27754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运维部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技术研发部</w:t>
          </w:r>
          <w:r>
            <w:tab/>
          </w:r>
          <w:r>
            <w:fldChar w:fldCharType="begin"/>
          </w:r>
          <w:r>
            <w:instrText xml:space="preserve"> PAGEREF _Toc16550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质量部：</w:t>
          </w:r>
          <w:r>
            <w:tab/>
          </w:r>
          <w:r>
            <w:fldChar w:fldCharType="begin"/>
          </w:r>
          <w:r>
            <w:instrText xml:space="preserve"> PAGEREF _Toc207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供应商全生命周期管理流程</w:t>
          </w:r>
          <w:r>
            <w:tab/>
          </w:r>
          <w:r>
            <w:fldChar w:fldCharType="begin"/>
          </w:r>
          <w:r>
            <w:instrText xml:space="preserve"> PAGEREF _Toc7450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供应商开发与准入</w:t>
          </w:r>
          <w:r>
            <w:tab/>
          </w:r>
          <w:r>
            <w:fldChar w:fldCharType="begin"/>
          </w:r>
          <w:r>
            <w:instrText xml:space="preserve"> PAGEREF _Toc30993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采购与合同签订</w:t>
          </w:r>
          <w:r>
            <w:tab/>
          </w:r>
          <w:r>
            <w:fldChar w:fldCharType="begin"/>
          </w:r>
          <w:r>
            <w:instrText xml:space="preserve"> PAGEREF _Toc15639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常规采购</w:t>
          </w:r>
          <w:r>
            <w:tab/>
          </w:r>
          <w:r>
            <w:fldChar w:fldCharType="begin"/>
          </w:r>
          <w:r>
            <w:instrText xml:space="preserve"> PAGEREF _Toc27131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4.2.2. </w:t>
          </w:r>
          <w:r>
            <w:rPr>
              <w:rFonts w:hint="eastAsia"/>
              <w:lang w:val="en-US" w:eastAsia="zh-CN"/>
            </w:rPr>
            <w:t>应急采购</w:t>
          </w:r>
          <w:r>
            <w:tab/>
          </w:r>
          <w:r>
            <w:fldChar w:fldCharType="begin"/>
          </w:r>
          <w:r>
            <w:instrText xml:space="preserve"> PAGEREF _Toc13913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供应商绩效评价</w:t>
          </w:r>
          <w:r>
            <w:tab/>
          </w:r>
          <w:r>
            <w:fldChar w:fldCharType="begin"/>
          </w:r>
          <w:r>
            <w:instrText xml:space="preserve"> PAGEREF _Toc24141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供应商激励与改进</w:t>
          </w:r>
          <w:r>
            <w:tab/>
          </w:r>
          <w:r>
            <w:fldChar w:fldCharType="begin"/>
          </w:r>
          <w:r>
            <w:instrText xml:space="preserve"> PAGEREF _Toc27833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供应商退出</w:t>
          </w:r>
          <w:r>
            <w:tab/>
          </w:r>
          <w:r>
            <w:fldChar w:fldCharType="begin"/>
          </w:r>
          <w:r>
            <w:instrText xml:space="preserve"> PAGEREF _Toc26184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风险管理</w:t>
          </w:r>
          <w:r>
            <w:tab/>
          </w:r>
          <w:r>
            <w:fldChar w:fldCharType="begin"/>
          </w:r>
          <w:r>
            <w:instrText xml:space="preserve"> PAGEREF _Toc9240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_Toc24676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7409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7837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肇庆市天鹰生物科技有限公司（以下简称“公司”）对供应商的开发、选择、评价与管理流程，确保供应商提供的产品、服务符合公司项目交付、质量、成本及信息安全要求，支撑公司业务持续稳定发展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0127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本制度适用于为公司各类项目（如运维服务、软件开发、系统集成）提供产品（包括软件、硬件、备品备件）与服务的所有供应商的全生命周期管理。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7067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战略协同原则： 选择与公司长期发展战略相匹配的供应商。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质量优先原则： 供应商提供的产品或服务必须满足公司与客户约定的质量标准。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公开、公平、公正原则： 采购过程应透明，避免不正当竞争。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合作共赢原则： 发展与核心供应商的长期稳定合作关系，实现共同成长。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 对供应商进行持续的风险评估与监控。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8241"/>
      <w:r>
        <w:rPr>
          <w:rFonts w:hint="default"/>
          <w:lang w:val="en-US" w:eastAsia="zh-CN"/>
        </w:rPr>
        <w:t>引用依据与关联文件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《中华人民共和国招标投标法》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《中华人民共和国合同法》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</w:t>
      </w:r>
      <w:r>
        <w:rPr>
          <w:rFonts w:hint="eastAsia"/>
          <w:lang w:val="en-US" w:eastAsia="zh-CN"/>
        </w:rPr>
        <w:t>-2022</w:t>
      </w:r>
      <w:r>
        <w:rPr>
          <w:rFonts w:hint="default"/>
          <w:lang w:val="en-US" w:eastAsia="zh-CN"/>
        </w:rPr>
        <w:t>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公司《备件库管理制度》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0388"/>
      <w:r>
        <w:rPr>
          <w:rFonts w:hint="default"/>
          <w:lang w:val="en-US" w:eastAsia="zh-CN"/>
        </w:rPr>
        <w:t>组织与职责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依据《人员岗位说明书》，明确供应商管理各相关方职责：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7754"/>
      <w:r>
        <w:rPr>
          <w:rFonts w:hint="default"/>
          <w:lang w:val="en-US" w:eastAsia="zh-CN"/>
        </w:rPr>
        <w:t>采购部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作为供应商管理的归口部门，负责组织供应商的开发、调查、准入、年度评价与退出。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采购专员负责具体执行供应商寻源、资质初审、日常沟通、合同签订及履行跟进。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采购部经理负责审核《合格供方名录》、审批采购策略及重大采购合同。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1382"/>
      <w:r>
        <w:rPr>
          <w:rFonts w:hint="default"/>
          <w:lang w:val="en-US" w:eastAsia="zh-CN"/>
        </w:rPr>
        <w:t>运维部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提出对运维相关产品及服务的具体技术、质量及服务响应要求。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参与对供应商技术方案、服务能力的评估。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反馈供应商在产品交付、现场服务、备件供应（依据《备件库管理制度》）等方面的履约表现。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6550"/>
      <w:r>
        <w:rPr>
          <w:rFonts w:hint="default"/>
          <w:lang w:val="en-US" w:eastAsia="zh-CN"/>
        </w:rPr>
        <w:t>技术研发部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提出软件开发、技术组件采购的技术标准和需求。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参与对软件类、技术服务类供应商的技术评估与验收。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07"/>
      <w:r>
        <w:rPr>
          <w:rFonts w:hint="default"/>
          <w:lang w:val="en-US" w:eastAsia="zh-CN"/>
        </w:rPr>
        <w:t>质量部：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负责对供应商提供的产品进行到货检验（参照《备件库管理制度》4.6条款）。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参与供应商质量保证体系的评估。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监控和分析供应商交付物或服务的质量数据。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7450"/>
      <w:r>
        <w:rPr>
          <w:rFonts w:hint="default"/>
          <w:lang w:val="en-US" w:eastAsia="zh-CN"/>
        </w:rPr>
        <w:t>供应商全生命周期管理流程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30993"/>
      <w:r>
        <w:rPr>
          <w:rFonts w:hint="default"/>
          <w:lang w:val="en-US" w:eastAsia="zh-CN"/>
        </w:rPr>
        <w:t>供应商开发与准入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需求提出：业务部门（如运维部、技术研发部）根据项目或维护需要，提出明确的采购需求。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源与调查：采购专员负责市场寻源，收集潜在供应商信息，并组织进行初步调查，填写《潜在供应商调查表》，内容应包括但不限于：工商资质、财务状况、技术能力、主要客户案例、质量与环境管理体系认证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评估与审批：采购部组织由需求部门、质量部、技术部门组成的评估小组，对潜在供应商进行综合评估。评估通过后，由采购部经理审批，纳入《合格供方名录》。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名录管理：《合格供方名录》为动态文件，由采购部负责维护与定期更新。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5639"/>
      <w:r>
        <w:rPr>
          <w:rFonts w:hint="default"/>
          <w:lang w:val="en-US" w:eastAsia="zh-CN"/>
        </w:rPr>
        <w:t>采购与合同签订</w:t>
      </w:r>
      <w:bookmarkEnd w:id="15"/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27131"/>
      <w:r>
        <w:rPr>
          <w:rFonts w:hint="eastAsia"/>
          <w:lang w:val="en-US" w:eastAsia="zh-CN"/>
        </w:rPr>
        <w:t>常规采购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采购实施：对于通用、标准产品或服务，可从《合格供方名录》中直接选择或进行比价、议价。对于重大项目或关键物资，应按照公司规定进行招标或竞争性谈判。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合同管理：采购合同或技术协议应明确约定产品/服务规格、质量标准、交付时间、价格、付款方式、验收标准、售后服务、违约责任、保密及知识产权条款等。合同签订权限参照公司《采购合同管理办法》。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3913"/>
      <w:r>
        <w:rPr>
          <w:rFonts w:hint="eastAsia"/>
          <w:lang w:val="en-US" w:eastAsia="zh-CN"/>
        </w:rPr>
        <w:t>应急采购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为应对突发故障、紧急项目需求或不可预见的服务中断，建立应急采购机制，确保在紧急情况下能够快速、合规地获取所需物资或服务。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应急采购触发条件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出现以下情况之一时，可启动应急采购流程：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发生重大故障或应急事件，现有备件库存不足以支撑快速恢复服务；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客户提出紧急业务需求，且按常规采购周期无法满足交付时限；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核心供应商突发断供、停产或无法履约，影响服务连续性；</w:t>
      </w:r>
    </w:p>
    <w:p>
      <w:pPr>
        <w:pStyle w:val="a1"/>
        <w:numPr>
          <w:ilvl w:val="0"/>
          <w:numId w:val="4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其他经运维部经理或公司领导认定的紧急情况。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应急采购审批权限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2060"/>
        <w:gridCol w:w="45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采购金额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  <w:tc>
          <w:tcPr>
            <w:tcW w:w="45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≤1万元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事后3个工作日内补办采购申请单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1万元-5万元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分管副总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需口头请示并事后补办书面审批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&gt;5万元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需口头请示并事后补办书面审批</w:t>
            </w:r>
          </w:p>
        </w:tc>
      </w:tr>
    </w:tbl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应急采购实施流程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紧急需求确认：运维部经理或运维项目经理确认应急采购需求，明确所需物资/服务的规格、数量、交付时限。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供应商选择：优先从《合格供方名录》中选择能够满足紧急交付要求的供应商。若名录内供应商无法满足，可临时选择具备相应资质的供应商，但需在事后补办供应商准入手续。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口头审批：按上述权限向相应审批人进行口头请示，获批后立即执行采购。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采购执行：采购专员或运维部人员可直接执行采购，同步告知采购部备案。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到货验收：物资到货后，由质量部依据《备件库管理制度》4.6条款进行紧急检验，确保质量符合要求。</w:t>
      </w:r>
    </w:p>
    <w:p>
      <w:pPr>
        <w:pStyle w:val="a1"/>
        <w:numPr>
          <w:ilvl w:val="0"/>
          <w:numId w:val="5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事后补办：应急采购完成后，采购专员应在3个工作日内补办《应急采购申请单》、采购合同及验收记录，完成正式入库和财务结算手续。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应急采购记录管理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所有应急采购必须保留完整记录，包括：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《应急采购申请单》（附件一）；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采购合同或订单记录；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到货验收记录；</w:t>
      </w:r>
    </w:p>
    <w:p>
      <w:pPr>
        <w:pStyle w:val="a1"/>
        <w:numPr>
          <w:ilvl w:val="0"/>
          <w:numId w:val="6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审批记录（口头请示需在补办时注明审批人及时间）。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应急采购定期评审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采购部每半年组织一次应急采购评审，分析应急采购的频次、原因及流程执行情况，评估备件库存策略的合理性，提出改进建议，减少不必要的应急采购。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4141"/>
      <w:r>
        <w:rPr>
          <w:rFonts w:hint="default"/>
          <w:lang w:val="en-US" w:eastAsia="zh-CN"/>
        </w:rPr>
        <w:t>供应商绩效评价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日常评价：各相关部门记录供应商在订单交付、产品质量、服务质量、问题响应、备件供应（依据《备件库管理制度》4.5响应级别）等方面的表现。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定期评价：采购部每年至少组织一次对合格供应商的定期综合评价，评价维度应包括：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质量：到货合格率、故障率、问题解决有效性。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交付：准时交付率、备件响应及时性。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服务：技术支持、沟通配合度。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成本：价格竞争力、性价比。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评价分级：根据评价结果，将供应商划分为 A（优秀）、B（合格）、C（待观察）、D（不合格） 四个等级。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833"/>
      <w:r>
        <w:rPr>
          <w:rFonts w:hint="default"/>
          <w:lang w:val="en-US" w:eastAsia="zh-CN"/>
        </w:rPr>
        <w:t>供应商激励与改进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A级供应商：可优先获得合作机会，考虑发展为战略合作伙伴。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B级供应商：维持正常合作关系。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C级供应商：采购部需向其发出书面改进通知，限期整改，并减少订单份额。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D级供应商：启动退出程序。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6184"/>
      <w:r>
        <w:rPr>
          <w:rFonts w:hint="default"/>
          <w:lang w:val="en-US" w:eastAsia="zh-CN"/>
        </w:rPr>
        <w:t>供应商退出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发生以下情况之一，经审批后，供应商应从《合格供方名录》中移除：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经评价为D级且整改无效。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提供虚假资质或信息。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出现重大质量问题、交付延迟，对公司项目造成严重影响。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违反合同关键条款（如保密协议）。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公司业务战略调整。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9240"/>
      <w:r>
        <w:rPr>
          <w:rFonts w:hint="default"/>
          <w:lang w:val="en-US" w:eastAsia="zh-CN"/>
        </w:rPr>
        <w:t>风险管理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采购部应建立供应商风险档案，关注其经营状况、行业政策等变化。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对于提供关键产品或服务的核心供应商，应制定备选方案，以降低供应中断风险。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所有供应商须与公司签订《保密协议》，以保护公司及客户信息安全。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4676"/>
      <w:r>
        <w:rPr>
          <w:rFonts w:hint="default"/>
          <w:lang w:val="en-US" w:eastAsia="zh-CN"/>
        </w:rPr>
        <w:t>附则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本制度由采购部负责解释与修订。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本制度自发布之日起生效，公司原有相关规定与本制度不一致的，以本制度为准。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E412123"/>
    <w:multiLevelType w:val="singleLevel"/>
    <w:tmpl w:val="BE4121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EE03198"/>
    <w:multiLevelType w:val="singleLevel"/>
    <w:tmpl w:val="BEE03198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2527A3F5"/>
    <w:multiLevelType w:val="singleLevel"/>
    <w:tmpl w:val="2527A3F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5071AA0"/>
    <w:multiLevelType w:val="singleLevel"/>
    <w:tmpl w:val="65071A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B9670B9"/>
    <w:multiLevelType w:val="singleLevel"/>
    <w:tmpl w:val="6B9670B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7071F839"/>
    <w:multiLevelType w:val="singleLevel"/>
    <w:tmpl w:val="7071F83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2770</Words>
  <Characters>2913</Characters>
  <Application>Microsoft Office Word</Application>
  <DocSecurity>0</DocSecurity>
  <Lines>0</Lines>
  <Paragraphs>0</Paragraphs>
  <ScaleCrop>false</ScaleCrop>
  <Company/>
  <LinksUpToDate>false</LinksUpToDate>
  <CharactersWithSpaces>3010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2026-03-22T05:59:59Z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