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23199"/>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4"/>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8240"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xmlns:r="http://schemas.openxmlformats.org/officeDocument/2006/relationships" r:embed="rId5">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肇庆市天鹰生物科技有限公司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19738"/>
      <w:r>
        <w:rPr>
          <w:rFonts w:hint="eastAsia"/>
          <w:lang w:val="en-US" w:eastAsia="zh-CN"/>
        </w:rPr>
        <w:t>服务知识管理制度</w:t>
      </w:r>
      <w:bookmarkEnd w:id="1"/>
    </w:p>
    <w:p>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right="0" w:firstLine="0" w:leftChars="0" w:rightChars="0" w:firstLineChars="0"/>
        <w:jc w:val="center"/>
        <w:textAlignment w:val="baseline"/>
        <w:rPr>
          <w:rFonts w:ascii="宋体" w:eastAsia="宋体" w:hAnsi="宋体" w:cs="宋体" w:hint="eastAsia"/>
          <w:sz w:val="24"/>
          <w:szCs w:val="24"/>
          <w:lang w:val="en-US" w:eastAsia="zh-CN"/>
        </w:rPr>
      </w:pPr>
      <w:r>
        <w:rPr>
          <w:rFonts w:ascii="宋体" w:eastAsia="宋体" w:hAnsi="宋体" w:cs="宋体"/>
          <w:b/>
          <w:bCs/>
          <w:spacing w:val="-3"/>
          <w:sz w:val="24"/>
          <w:szCs w:val="24"/>
        </w:rPr>
        <w:t>文件编号：</w:t>
      </w:r>
      <w:r>
        <w:rPr>
          <w:rFonts w:ascii="宋体" w:eastAsia="宋体" w:hAnsi="宋体" w:cs="宋体" w:hint="eastAsia"/>
          <w:b/>
          <w:bCs/>
          <w:spacing w:val="-3"/>
          <w:sz w:val="24"/>
          <w:szCs w:val="24"/>
          <w:lang w:val="en-US" w:eastAsia="zh-CN"/>
        </w:rPr>
        <w:t>TYSW</w:t>
      </w:r>
      <w:r>
        <w:rPr>
          <w:rFonts w:ascii="宋体" w:eastAsia="宋体" w:hAnsi="宋体" w:cs="宋体"/>
          <w:b/>
          <w:bCs/>
          <w:spacing w:val="-3"/>
          <w:sz w:val="24"/>
          <w:szCs w:val="24"/>
        </w:rPr>
        <w:t>-0</w:t>
      </w:r>
      <w:r>
        <w:rPr>
          <w:rFonts w:ascii="宋体" w:hAnsi="宋体" w:cs="宋体" w:hint="eastAsia"/>
          <w:b/>
          <w:bCs/>
          <w:spacing w:val="-3"/>
          <w:sz w:val="24"/>
          <w:szCs w:val="24"/>
          <w:lang w:val="en-US" w:eastAsia="zh-CN"/>
        </w:rPr>
        <w:t>8</w:t>
      </w:r>
      <w:r>
        <w:rPr>
          <w:rFonts w:ascii="宋体" w:eastAsia="宋体" w:hAnsi="宋体" w:cs="宋体"/>
          <w:b/>
          <w:bCs/>
          <w:spacing w:val="-3"/>
          <w:sz w:val="24"/>
          <w:szCs w:val="24"/>
        </w:rPr>
        <w:t>-0</w:t>
      </w:r>
      <w:r>
        <w:rPr>
          <w:rFonts w:ascii="宋体" w:hAnsi="宋体" w:cs="宋体" w:hint="eastAsia"/>
          <w:b/>
          <w:bCs/>
          <w:spacing w:val="-3"/>
          <w:sz w:val="24"/>
          <w:szCs w:val="24"/>
          <w:lang w:val="en-US" w:eastAsia="zh-CN"/>
        </w:rPr>
        <w:t>4</w:t>
      </w:r>
    </w:p>
    <w:tbl>
      <w:tblPr>
        <w:tblStyle w:val="TableGrid"/>
        <w:tblW w:w="0" w:type="auto"/>
        <w:jc w:val="center"/>
        <w:tblBorders>
          <w:top w:val="nil"/>
          <w:left w:val="nil"/>
          <w:bottom w:val="nil"/>
          <w:right w:val="nil"/>
          <w:insideH w:val="nil"/>
          <w:insideV w:val="nil"/>
        </w:tblBorders>
        <w:tblCellMar>
          <w:top w:w="0" w:type="dxa"/>
          <w:left w:w="108" w:type="dxa"/>
          <w:bottom w:w="0" w:type="dxa"/>
          <w:right w:w="108" w:type="dxa"/>
        </w:tblCellMar>
      </w:tblPr>
      <w:tblGrid>
        <w:gridCol w:w="2432"/>
        <w:gridCol w:w="2708"/>
      </w:tblGrid>
      <w:tr>
        <w:tblPrEx>
          <w:tblW w:w="0" w:type="auto"/>
          <w:jc w:val="center"/>
          <w:tblBorders>
            <w:top w:val="nil"/>
            <w:left w:val="nil"/>
            <w:bottom w:val="nil"/>
            <w:right w:val="nil"/>
            <w:insideH w:val="nil"/>
            <w:insideV w:val="nil"/>
          </w:tblBorders>
          <w:tblCellMar>
            <w:top w:w="0" w:type="dxa"/>
            <w:left w:w="108" w:type="dxa"/>
            <w:bottom w:w="0" w:type="dxa"/>
            <w:right w:w="108" w:type="dxa"/>
          </w:tblCellMar>
        </w:tblPrEx>
        <w:trPr>
          <w:trHeight w:val="810"/>
          <w:jc w:val="center"/>
        </w:trPr>
        <w:tc>
          <w:tcPr>
            <w:tcW w:w="2432"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运维部</w:t>
            </w:r>
          </w:p>
        </w:tc>
        <w:tc>
          <w:tcPr>
            <w:tcW w:w="2708"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2025.02.10</w:t>
            </w:r>
          </w:p>
        </w:tc>
      </w:tr>
      <w:tr>
        <w:tblPrEx>
          <w:tblW w:w="0" w:type="auto"/>
          <w:jc w:val="center"/>
          <w:tblCellMar>
            <w:top w:w="0" w:type="dxa"/>
            <w:left w:w="108" w:type="dxa"/>
            <w:bottom w:w="0" w:type="dxa"/>
            <w:right w:w="108" w:type="dxa"/>
          </w:tblCellMar>
        </w:tblPrEx>
        <w:trPr>
          <w:trHeight w:val="810"/>
          <w:jc w:val="center"/>
        </w:trPr>
        <w:tc>
          <w:tcPr>
            <w:tcW w:w="2432" w:type="dxa"/>
            <w:shd w:val="clear" w:color="auto" w:fill="auto"/>
          </w:tcPr>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asciiTheme="minorAscii" w:eastAsiaTheme="minorEastAsia" w:hAnsiTheme="minorAscii" w:hint="default"/>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1</w:t>
            </w:r>
            <w:bookmarkStart w:id="2" w:name="_GoBack"/>
            <w:bookmarkEnd w:id="2"/>
          </w:p>
        </w:tc>
        <w:tc>
          <w:tcPr>
            <w:tcW w:w="2708" w:type="dxa"/>
            <w:shd w:val="clear" w:color="auto" w:fill="auto"/>
          </w:tcPr>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2025.02.10</w:t>
            </w:r>
          </w:p>
        </w:tc>
      </w:tr>
      <w:tr>
        <w:tblPrEx>
          <w:tblW w:w="0" w:type="auto"/>
          <w:jc w:val="center"/>
          <w:tblCellMar>
            <w:top w:w="0" w:type="dxa"/>
            <w:left w:w="108" w:type="dxa"/>
            <w:bottom w:w="0" w:type="dxa"/>
            <w:right w:w="108" w:type="dxa"/>
          </w:tblCellMar>
        </w:tblPrEx>
        <w:trPr>
          <w:trHeight w:val="635"/>
          <w:jc w:val="center"/>
        </w:trPr>
        <w:tc>
          <w:tcPr>
            <w:tcW w:w="2432"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asciiTheme="minorAscii" w:eastAsiaTheme="minorEastAsia" w:hAnsiTheme="minorAscii" w:hint="eastAsia"/>
                <w:spacing w:val="227"/>
                <w:sz w:val="21"/>
                <w:vertAlign w:val="baseline"/>
                <w:lang w:val="en-US" w:eastAsia="zh-CN"/>
              </w:rPr>
              <w:t>:</w:t>
            </w:r>
            <w:r>
              <w:rPr>
                <w:rFonts w:hint="eastAsia"/>
                <w:u w:val="single"/>
                <w:lang w:val="en-US" w:eastAsia="zh-CN"/>
              </w:rPr>
              <w:t>吴智锋</w:t>
            </w:r>
          </w:p>
        </w:tc>
        <w:tc>
          <w:tcPr>
            <w:tcW w:w="2708"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2025.02.10</w:t>
            </w:r>
          </w:p>
        </w:tc>
      </w:tr>
    </w:tbl>
    <w:p>
      <w:pPr>
        <w:keepNext w:val="0"/>
        <w:keepLines w:val="0"/>
        <w:pageBreakBefore w:val="0"/>
        <w:widowControl w:val="0"/>
        <w:kinsoku w:val="0"/>
        <w:wordWrap/>
        <w:overflowPunct/>
        <w:autoSpaceDE w:val="0"/>
        <w:autoSpaceDN w:val="0"/>
        <w:bidi w:val="0"/>
        <w:adjustRightInd w:val="0"/>
        <w:snapToGrid w:val="0"/>
        <w:textAlignment w:val="baseline"/>
      </w:pPr>
      <w:r>
        <w:br w:type="page"/>
      </w:r>
    </w:p>
    <w:p>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eastAsia="宋体" w:hAnsi="宋体" w:cs="宋体"/>
          <w:sz w:val="31"/>
          <w:szCs w:val="31"/>
        </w:rPr>
      </w:pPr>
      <w:r>
        <w:rPr>
          <w:rFonts w:ascii="宋体" w:eastAsia="宋体" w:hAnsi="宋体" w:cs="宋体"/>
          <w:b/>
          <w:bCs/>
          <w:spacing w:val="4"/>
          <w:sz w:val="31"/>
          <w:szCs w:val="31"/>
        </w:rPr>
        <w:t>修订记录</w:t>
      </w:r>
    </w:p>
    <w:tbl>
      <w:tblPr>
        <w:tblStyle w:val="TableNormal0"/>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2689"/>
        <w:gridCol w:w="919"/>
        <w:gridCol w:w="2289"/>
        <w:gridCol w:w="1240"/>
      </w:tblGrid>
      <w:tr>
        <w:tblPrEx>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93"/>
          <w:jc w:val="center"/>
        </w:trPr>
        <w:tc>
          <w:tcPr>
            <w:tcW w:w="2689" w:type="dxa"/>
          </w:tcPr>
          <w:p>
            <w:pPr>
              <w:keepNext w:val="0"/>
              <w:keepLines w:val="0"/>
              <w:pageBreakBefore w:val="0"/>
              <w:widowControl w:val="0"/>
              <w:kinsoku w:val="0"/>
              <w:wordWrap/>
              <w:overflowPunct/>
              <w:autoSpaceDE w:val="0"/>
              <w:autoSpaceDN w:val="0"/>
              <w:bidi w:val="0"/>
              <w:adjustRightInd w:val="0"/>
              <w:snapToGrid w:val="0"/>
              <w:spacing w:before="176"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14"/>
                <w:sz w:val="20"/>
                <w:szCs w:val="20"/>
              </w:rPr>
              <w:t>日期</w:t>
            </w:r>
          </w:p>
        </w:tc>
        <w:tc>
          <w:tcPr>
            <w:tcW w:w="919" w:type="dxa"/>
          </w:tcPr>
          <w:p>
            <w:pPr>
              <w:keepNext w:val="0"/>
              <w:keepLines w:val="0"/>
              <w:pageBreakBefore w:val="0"/>
              <w:widowControl w:val="0"/>
              <w:kinsoku w:val="0"/>
              <w:wordWrap/>
              <w:overflowPunct/>
              <w:autoSpaceDE w:val="0"/>
              <w:autoSpaceDN w:val="0"/>
              <w:bidi w:val="0"/>
              <w:adjustRightInd w:val="0"/>
              <w:snapToGrid w:val="0"/>
              <w:spacing w:before="175" w:line="227"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sz w:val="20"/>
                <w:szCs w:val="20"/>
              </w:rPr>
              <w:t>版本</w:t>
            </w:r>
          </w:p>
        </w:tc>
        <w:tc>
          <w:tcPr>
            <w:tcW w:w="2289" w:type="dxa"/>
          </w:tcPr>
          <w:p>
            <w:pPr>
              <w:keepNext w:val="0"/>
              <w:keepLines w:val="0"/>
              <w:pageBreakBefore w:val="0"/>
              <w:widowControl w:val="0"/>
              <w:kinsoku w:val="0"/>
              <w:wordWrap/>
              <w:overflowPunct/>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变更说明</w:t>
            </w:r>
          </w:p>
        </w:tc>
        <w:tc>
          <w:tcPr>
            <w:tcW w:w="1240" w:type="dxa"/>
          </w:tcPr>
          <w:p>
            <w:pPr>
              <w:keepNext w:val="0"/>
              <w:keepLines w:val="0"/>
              <w:pageBreakBefore w:val="0"/>
              <w:widowControl w:val="0"/>
              <w:kinsoku w:val="0"/>
              <w:wordWrap/>
              <w:overflowPunct/>
              <w:autoSpaceDE w:val="0"/>
              <w:autoSpaceDN w:val="0"/>
              <w:bidi w:val="0"/>
              <w:adjustRightInd w:val="0"/>
              <w:snapToGrid w:val="0"/>
              <w:spacing w:before="176" w:line="229"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批准人</w:t>
            </w:r>
          </w:p>
        </w:tc>
      </w:tr>
      <w:tr>
        <w:tblPrEx>
          <w:tblW w:w="7137" w:type="dxa"/>
          <w:jc w:val="center"/>
          <w:tblLayout w:type="fixed"/>
          <w:tblCellMar>
            <w:top w:w="0" w:type="dxa"/>
            <w:left w:w="0" w:type="dxa"/>
            <w:bottom w:w="0" w:type="dxa"/>
            <w:right w:w="0" w:type="dxa"/>
          </w:tblCellMar>
        </w:tblPrEx>
        <w:trPr>
          <w:trHeight w:val="516"/>
          <w:jc w:val="center"/>
        </w:trPr>
        <w:tc>
          <w:tcPr>
            <w:tcW w:w="2689" w:type="dxa"/>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hint="default"/>
                <w:sz w:val="20"/>
                <w:szCs w:val="20"/>
                <w:lang w:val="en-US" w:eastAsia="zh-CN"/>
              </w:rPr>
            </w:pPr>
            <w:r>
              <w:rPr>
                <w:rFonts w:ascii="宋体" w:eastAsia="宋体" w:hAnsi="宋体" w:cs="宋体"/>
                <w:spacing w:val="3"/>
                <w:position w:val="1"/>
                <w:sz w:val="20"/>
                <w:szCs w:val="20"/>
              </w:rPr>
              <w:t>2025.01.</w:t>
            </w:r>
            <w:r>
              <w:rPr>
                <w:rFonts w:ascii="宋体" w:hAnsi="宋体" w:cs="宋体" w:hint="eastAsia"/>
                <w:spacing w:val="3"/>
                <w:position w:val="1"/>
                <w:sz w:val="20"/>
                <w:szCs w:val="20"/>
                <w:lang w:val="en-US" w:eastAsia="zh-CN"/>
              </w:rPr>
              <w:t>10</w:t>
            </w:r>
          </w:p>
        </w:tc>
        <w:tc>
          <w:tcPr>
            <w:tcW w:w="919" w:type="dxa"/>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position w:val="1"/>
                <w:sz w:val="20"/>
                <w:szCs w:val="20"/>
              </w:rPr>
              <w:t>V1.0</w:t>
            </w:r>
          </w:p>
        </w:tc>
        <w:tc>
          <w:tcPr>
            <w:tcW w:w="2289" w:type="dxa"/>
          </w:tcPr>
          <w:p>
            <w:pPr>
              <w:keepNext w:val="0"/>
              <w:keepLines w:val="0"/>
              <w:pageBreakBefore w:val="0"/>
              <w:widowControl w:val="0"/>
              <w:kinsoku w:val="0"/>
              <w:wordWrap/>
              <w:overflowPunct/>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新建</w:t>
            </w:r>
          </w:p>
        </w:tc>
        <w:tc>
          <w:tcPr>
            <w:tcW w:w="1240" w:type="dxa"/>
          </w:tcPr>
          <w:p>
            <w:pPr>
              <w:keepNext w:val="0"/>
              <w:keepLines w:val="0"/>
              <w:pageBreakBefore w:val="0"/>
              <w:widowControl w:val="0"/>
              <w:kinsoku w:val="0"/>
              <w:wordWrap/>
              <w:overflowPunct/>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z w:val="20"/>
                <w:szCs w:val="20"/>
              </w:rPr>
            </w:pPr>
            <w:r>
              <w:rPr>
                <w:rFonts w:hint="eastAsia"/>
                <w:lang w:val="en-US" w:eastAsia="zh-CN"/>
              </w:rPr>
              <w:t>吴智锋</w:t>
            </w:r>
          </w:p>
        </w:tc>
      </w:tr>
      <w:tr>
        <w:tblPrEx>
          <w:tblW w:w="7137" w:type="dxa"/>
          <w:jc w:val="center"/>
          <w:tblLayout w:type="fixed"/>
          <w:tblCellMar>
            <w:top w:w="0" w:type="dxa"/>
            <w:left w:w="0" w:type="dxa"/>
            <w:bottom w:w="0" w:type="dxa"/>
            <w:right w:w="0" w:type="dxa"/>
          </w:tblCellMar>
        </w:tblPrEx>
        <w:trPr>
          <w:trHeight w:val="556"/>
          <w:jc w:val="center"/>
        </w:trPr>
        <w:tc>
          <w:tcPr>
            <w:tcW w:w="2689"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hint="default"/>
                <w:snapToGrid w:val="0"/>
                <w:color w:val="000000"/>
                <w:kern w:val="0"/>
                <w:sz w:val="20"/>
                <w:szCs w:val="20"/>
                <w:lang w:val="en-US" w:eastAsia="zh-CN" w:bidi="ar-SA"/>
              </w:rPr>
            </w:pPr>
            <w:r>
              <w:rPr>
                <w:rFonts w:ascii="宋体" w:eastAsia="宋体" w:hAnsi="宋体" w:cs="宋体"/>
                <w:spacing w:val="3"/>
                <w:position w:val="1"/>
                <w:sz w:val="20"/>
                <w:szCs w:val="20"/>
              </w:rPr>
              <w:t>2025.0</w:t>
            </w:r>
            <w:r>
              <w:rPr>
                <w:rFonts w:ascii="宋体" w:hAnsi="宋体" w:cs="宋体" w:hint="eastAsia"/>
                <w:spacing w:val="3"/>
                <w:position w:val="1"/>
                <w:sz w:val="20"/>
                <w:szCs w:val="20"/>
                <w:lang w:val="en-US" w:eastAsia="zh-CN"/>
              </w:rPr>
              <w:t>2</w:t>
            </w:r>
            <w:r>
              <w:rPr>
                <w:rFonts w:ascii="宋体" w:eastAsia="宋体" w:hAnsi="宋体" w:cs="宋体"/>
                <w:spacing w:val="3"/>
                <w:position w:val="1"/>
                <w:sz w:val="20"/>
                <w:szCs w:val="20"/>
              </w:rPr>
              <w:t>.</w:t>
            </w:r>
            <w:r>
              <w:rPr>
                <w:rFonts w:ascii="宋体" w:hAnsi="宋体" w:cs="宋体" w:hint="eastAsia"/>
                <w:spacing w:val="3"/>
                <w:position w:val="1"/>
                <w:sz w:val="20"/>
                <w:szCs w:val="20"/>
                <w:lang w:val="en-US" w:eastAsia="zh-CN"/>
              </w:rPr>
              <w:t>10</w:t>
            </w:r>
          </w:p>
        </w:tc>
        <w:tc>
          <w:tcPr>
            <w:tcW w:w="919"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hint="eastAsia"/>
                <w:snapToGrid w:val="0"/>
                <w:color w:val="000000"/>
                <w:kern w:val="0"/>
                <w:sz w:val="20"/>
                <w:szCs w:val="20"/>
                <w:lang w:val="en-US" w:eastAsia="zh-CN" w:bidi="ar-SA"/>
              </w:rPr>
            </w:pPr>
            <w:r>
              <w:rPr>
                <w:rFonts w:ascii="宋体" w:eastAsia="宋体" w:hAnsi="宋体" w:cs="宋体"/>
                <w:spacing w:val="4"/>
                <w:position w:val="1"/>
                <w:sz w:val="20"/>
                <w:szCs w:val="20"/>
              </w:rPr>
              <w:t>V1.</w:t>
            </w:r>
            <w:r>
              <w:rPr>
                <w:rFonts w:ascii="宋体" w:hAnsi="宋体" w:cs="宋体" w:hint="eastAsia"/>
                <w:spacing w:val="4"/>
                <w:position w:val="1"/>
                <w:sz w:val="20"/>
                <w:szCs w:val="20"/>
                <w:lang w:val="en-US" w:eastAsia="zh-CN"/>
              </w:rPr>
              <w:t>1</w:t>
            </w:r>
          </w:p>
        </w:tc>
        <w:tc>
          <w:tcPr>
            <w:tcW w:w="2289"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hint="default"/>
                <w:snapToGrid w:val="0"/>
                <w:color w:val="000000"/>
                <w:kern w:val="0"/>
                <w:sz w:val="20"/>
                <w:szCs w:val="20"/>
                <w:lang w:val="en-US" w:eastAsia="zh-CN" w:bidi="ar-SA"/>
              </w:rPr>
            </w:pPr>
            <w:r>
              <w:rPr>
                <w:rFonts w:ascii="宋体" w:hAnsi="宋体" w:cs="宋体" w:hint="eastAsia"/>
                <w:snapToGrid w:val="0"/>
                <w:color w:val="000000"/>
                <w:kern w:val="0"/>
                <w:sz w:val="20"/>
                <w:szCs w:val="20"/>
                <w:lang w:val="en-US" w:eastAsia="zh-CN" w:bidi="ar-SA"/>
              </w:rPr>
              <w:t>新增权限控制</w:t>
            </w:r>
          </w:p>
        </w:tc>
        <w:tc>
          <w:tcPr>
            <w:tcW w:w="1240"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napToGrid w:val="0"/>
                <w:color w:val="000000"/>
                <w:kern w:val="0"/>
                <w:sz w:val="20"/>
                <w:szCs w:val="20"/>
                <w:lang w:val="en-US" w:eastAsia="en-US" w:bidi="ar-SA"/>
              </w:rPr>
            </w:pPr>
            <w:r>
              <w:rPr>
                <w:rFonts w:hint="eastAsia"/>
                <w:lang w:val="en-US" w:eastAsia="zh-CN"/>
              </w:rPr>
              <w:t>吴智锋</w:t>
            </w: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7"/>
          <w:jc w:val="center"/>
        </w:trPr>
        <w:tc>
          <w:tcPr>
            <w:tcW w:w="26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bl>
    <w:p>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eastAsia="宋体" w:hAnsi="宋体" w:cs="Arial"/>
          <w:snapToGrid w:val="0"/>
          <w:color w:val="000000"/>
          <w:kern w:val="0"/>
          <w:sz w:val="21"/>
          <w:szCs w:val="21"/>
          <w:lang w:val="en-US" w:eastAsia="en-US" w:bidi="ar-SA"/>
        </w:rPr>
        <w:id w:val="147468666"/>
        <w:docPartObj>
          <w:docPartGallery w:val="Table of Contents"/>
          <w:docPartUnique/>
        </w:docPartObj>
      </w:sdtPr>
      <w:sdtEndPr>
        <w:rPr>
          <w:rFonts w:ascii="宋体" w:eastAsia="宋体" w:hAnsi="宋体" w:cs="宋体" w:hint="eastAsia"/>
          <w:snapToGrid w:val="0"/>
          <w:color w:val="000000"/>
          <w:kern w:val="0"/>
          <w:sz w:val="24"/>
          <w:szCs w:val="24"/>
          <w:lang w:val="en-US" w:eastAsia="en-US" w:bidi="ar-SA"/>
        </w:rPr>
      </w:sdtEndPr>
      <w:sdtContent>
        <w:p>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rPr>
              <w:rFonts w:ascii="宋体" w:eastAsia="宋体" w:hAnsi="宋体" w:cs="宋体" w:hint="eastAsia"/>
              <w:sz w:val="24"/>
              <w:szCs w:val="24"/>
            </w:rPr>
          </w:pPr>
          <w:r>
            <w:rPr>
              <w:rFonts w:ascii="宋体" w:eastAsia="宋体" w:hAnsi="宋体" w:cs="宋体" w:hint="eastAsia"/>
              <w:sz w:val="24"/>
              <w:szCs w:val="24"/>
            </w:rPr>
            <w:t>目录</w:t>
          </w:r>
        </w:p>
        <w:p>
          <w:pPr>
            <w:pStyle w:val="TOC1"/>
            <w:tabs>
              <w:tab w:val="right" w:leader="dot" w:pos="8306"/>
            </w:tabs>
          </w:pP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TOC \o "1-3" \h \u </w:instrText>
          </w:r>
          <w:r>
            <w:rPr>
              <w:rFonts w:ascii="宋体" w:eastAsia="宋体" w:hAnsi="宋体" w:cs="宋体" w:hint="eastAsia"/>
              <w:sz w:val="24"/>
              <w:szCs w:val="24"/>
            </w:rPr>
            <w:fldChar w:fldCharType="separate"/>
          </w:r>
          <w:r>
            <w:rPr>
              <w:rFonts w:ascii="宋体" w:eastAsia="宋体" w:hAnsi="宋体" w:cs="宋体" w:hint="eastAsia"/>
              <w:szCs w:val="24"/>
            </w:rPr>
            <w:fldChar w:fldCharType="begin"/>
          </w:r>
          <w:r>
            <w:rPr>
              <w:rFonts w:ascii="宋体" w:eastAsia="宋体" w:hAnsi="宋体" w:cs="宋体" w:hint="eastAsia"/>
              <w:szCs w:val="24"/>
            </w:rPr>
            <w:instrText xml:space="preserve"> HYPERLINK \l _Toc23199 </w:instrText>
          </w:r>
          <w:r>
            <w:rPr>
              <w:rFonts w:ascii="宋体" w:eastAsia="宋体" w:hAnsi="宋体" w:cs="宋体" w:hint="eastAsia"/>
              <w:szCs w:val="24"/>
            </w:rPr>
            <w:fldChar w:fldCharType="separate"/>
          </w:r>
          <w:r>
            <w:rPr>
              <w:rFonts w:hint="eastAsia"/>
              <w:lang w:val="en-US" w:eastAsia="zh-CN"/>
            </w:rPr>
            <w:t>肇庆市天鹰生物科技有限公司</w:t>
          </w:r>
          <w:r>
            <w:tab/>
          </w:r>
          <w:r>
            <w:fldChar w:fldCharType="begin"/>
          </w:r>
          <w:r>
            <w:instrText xml:space="preserve"> PAGEREF _Toc23199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_Toc19738 </w:instrText>
          </w:r>
          <w:r>
            <w:rPr>
              <w:rFonts w:ascii="宋体" w:eastAsia="宋体" w:hAnsi="宋体" w:cs="宋体" w:hint="eastAsia"/>
              <w:szCs w:val="24"/>
            </w:rPr>
            <w:fldChar w:fldCharType="separate"/>
          </w:r>
          <w:r>
            <w:rPr>
              <w:rFonts w:hint="eastAsia"/>
              <w:lang w:val="en-US" w:eastAsia="zh-CN"/>
            </w:rPr>
            <w:t>服务知识管理制度</w:t>
          </w:r>
          <w:r>
            <w:tab/>
          </w:r>
          <w:r>
            <w:fldChar w:fldCharType="begin"/>
          </w:r>
          <w:r>
            <w:instrText xml:space="preserve"> PAGEREF _Toc19738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_Toc2757 </w:instrText>
          </w:r>
          <w:r>
            <w:rPr>
              <w:rFonts w:ascii="宋体" w:eastAsia="宋体" w:hAnsi="宋体" w:cs="宋体" w:hint="eastAsia"/>
              <w:szCs w:val="24"/>
            </w:rPr>
            <w:fldChar w:fldCharType="separate"/>
          </w:r>
          <w:r>
            <w:rPr>
              <w:rFonts w:hint="default"/>
            </w:rPr>
            <w:t xml:space="preserve">1. </w:t>
          </w:r>
          <w:r>
            <w:rPr>
              <w:rFonts w:hint="eastAsia"/>
              <w:lang w:val="en-US" w:eastAsia="zh-CN"/>
            </w:rPr>
            <w:t>总则</w:t>
          </w:r>
          <w:r>
            <w:tab/>
          </w:r>
          <w:r>
            <w:fldChar w:fldCharType="begin"/>
          </w:r>
          <w:r>
            <w:instrText xml:space="preserve"> PAGEREF _Toc2757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_Toc5338 </w:instrText>
          </w:r>
          <w:r>
            <w:rPr>
              <w:rFonts w:ascii="宋体" w:eastAsia="宋体" w:hAnsi="宋体" w:cs="宋体" w:hint="eastAsia"/>
              <w:szCs w:val="24"/>
            </w:rPr>
            <w:fldChar w:fldCharType="separate"/>
          </w:r>
          <w:r>
            <w:rPr>
              <w:rFonts w:hint="default"/>
              <w:lang w:val="en-US" w:eastAsia="zh-CN"/>
            </w:rPr>
            <w:t xml:space="preserve">1.1. </w:t>
          </w:r>
          <w:r>
            <w:rPr>
              <w:rFonts w:hint="eastAsia"/>
              <w:lang w:val="en-US" w:eastAsia="zh-CN"/>
            </w:rPr>
            <w:t>目的</w:t>
          </w:r>
          <w:r>
            <w:tab/>
          </w:r>
          <w:r>
            <w:fldChar w:fldCharType="begin"/>
          </w:r>
          <w:r>
            <w:instrText xml:space="preserve"> PAGEREF _Toc5338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_Toc26120 </w:instrText>
          </w:r>
          <w:r>
            <w:rPr>
              <w:rFonts w:ascii="宋体" w:eastAsia="宋体" w:hAnsi="宋体" w:cs="宋体" w:hint="eastAsia"/>
              <w:szCs w:val="24"/>
            </w:rPr>
            <w:fldChar w:fldCharType="separate"/>
          </w:r>
          <w:r>
            <w:rPr>
              <w:rFonts w:hint="default"/>
              <w:lang w:val="en-US" w:eastAsia="zh-CN"/>
            </w:rPr>
            <w:t xml:space="preserve">1.2. </w:t>
          </w:r>
          <w:r>
            <w:rPr>
              <w:rFonts w:hint="eastAsia"/>
              <w:lang w:val="en-US" w:eastAsia="zh-CN"/>
            </w:rPr>
            <w:t>适用范围</w:t>
          </w:r>
          <w:r>
            <w:tab/>
          </w:r>
          <w:r>
            <w:fldChar w:fldCharType="begin"/>
          </w:r>
          <w:r>
            <w:instrText xml:space="preserve"> PAGEREF _Toc26120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_Toc14889 </w:instrText>
          </w:r>
          <w:r>
            <w:rPr>
              <w:rFonts w:ascii="宋体" w:eastAsia="宋体" w:hAnsi="宋体" w:cs="宋体" w:hint="eastAsia"/>
              <w:szCs w:val="24"/>
            </w:rPr>
            <w:fldChar w:fldCharType="separate"/>
          </w:r>
          <w:r>
            <w:rPr>
              <w:rFonts w:hint="default"/>
              <w:lang w:val="en-US" w:eastAsia="zh-CN"/>
            </w:rPr>
            <w:t xml:space="preserve">1.3. </w:t>
          </w:r>
          <w:r>
            <w:rPr>
              <w:rFonts w:hint="eastAsia"/>
              <w:lang w:val="en-US" w:eastAsia="zh-CN"/>
            </w:rPr>
            <w:t>原则</w:t>
          </w:r>
          <w:r>
            <w:tab/>
          </w:r>
          <w:r>
            <w:fldChar w:fldCharType="begin"/>
          </w:r>
          <w:r>
            <w:instrText xml:space="preserve"> PAGEREF _Toc14889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_Toc25847 </w:instrText>
          </w:r>
          <w:r>
            <w:rPr>
              <w:rFonts w:ascii="宋体" w:eastAsia="宋体" w:hAnsi="宋体" w:cs="宋体" w:hint="eastAsia"/>
              <w:szCs w:val="24"/>
            </w:rPr>
            <w:fldChar w:fldCharType="separate"/>
          </w:r>
          <w:r>
            <w:rPr>
              <w:rFonts w:hint="default"/>
              <w:lang w:val="en-US" w:eastAsia="zh-CN"/>
            </w:rPr>
            <w:t xml:space="preserve">1.4. </w:t>
          </w:r>
          <w:r>
            <w:rPr>
              <w:rFonts w:hint="eastAsia"/>
              <w:lang w:val="en-US" w:eastAsia="zh-CN"/>
            </w:rPr>
            <w:t>岗位职责</w:t>
          </w:r>
          <w:r>
            <w:tab/>
          </w:r>
          <w:r>
            <w:fldChar w:fldCharType="begin"/>
          </w:r>
          <w:r>
            <w:instrText xml:space="preserve"> PAGEREF _Toc25847 \h </w:instrText>
          </w:r>
          <w:r>
            <w:fldChar w:fldCharType="separate"/>
          </w:r>
          <w:r>
            <w:t>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_Toc13414 </w:instrText>
          </w:r>
          <w:r>
            <w:rPr>
              <w:rFonts w:ascii="宋体" w:eastAsia="宋体" w:hAnsi="宋体" w:cs="宋体" w:hint="eastAsia"/>
              <w:szCs w:val="24"/>
            </w:rPr>
            <w:fldChar w:fldCharType="separate"/>
          </w:r>
          <w:r>
            <w:rPr>
              <w:rFonts w:hint="default"/>
              <w:lang w:val="en-US" w:eastAsia="zh-CN"/>
            </w:rPr>
            <w:t>1.4.1. 运维部</w:t>
          </w:r>
          <w:r>
            <w:tab/>
          </w:r>
          <w:r>
            <w:fldChar w:fldCharType="begin"/>
          </w:r>
          <w:r>
            <w:instrText xml:space="preserve"> PAGEREF _Toc13414 \h </w:instrText>
          </w:r>
          <w:r>
            <w:fldChar w:fldCharType="separate"/>
          </w:r>
          <w:r>
            <w:t>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_Toc17986 </w:instrText>
          </w:r>
          <w:r>
            <w:rPr>
              <w:rFonts w:ascii="宋体" w:eastAsia="宋体" w:hAnsi="宋体" w:cs="宋体" w:hint="eastAsia"/>
              <w:szCs w:val="24"/>
            </w:rPr>
            <w:fldChar w:fldCharType="separate"/>
          </w:r>
          <w:r>
            <w:rPr>
              <w:rFonts w:hint="default"/>
              <w:lang w:val="en-US" w:eastAsia="zh-CN"/>
            </w:rPr>
            <w:t>1.4.2. 质量部</w:t>
          </w:r>
          <w:r>
            <w:tab/>
          </w:r>
          <w:r>
            <w:fldChar w:fldCharType="begin"/>
          </w:r>
          <w:r>
            <w:instrText xml:space="preserve"> PAGEREF _Toc17986 \h </w:instrText>
          </w:r>
          <w:r>
            <w:fldChar w:fldCharType="separate"/>
          </w:r>
          <w:r>
            <w:t>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_Toc296 </w:instrText>
          </w:r>
          <w:r>
            <w:rPr>
              <w:rFonts w:ascii="宋体" w:eastAsia="宋体" w:hAnsi="宋体" w:cs="宋体" w:hint="eastAsia"/>
              <w:szCs w:val="24"/>
            </w:rPr>
            <w:fldChar w:fldCharType="separate"/>
          </w:r>
          <w:r>
            <w:rPr>
              <w:rFonts w:hint="default"/>
              <w:lang w:val="en-US" w:eastAsia="zh-CN"/>
            </w:rPr>
            <w:t xml:space="preserve">1.4.3. </w:t>
          </w:r>
          <w:r>
            <w:rPr>
              <w:rFonts w:hint="eastAsia"/>
              <w:lang w:val="en-US" w:eastAsia="zh-CN"/>
            </w:rPr>
            <w:t>服务知识专员</w:t>
          </w:r>
          <w:r>
            <w:tab/>
          </w:r>
          <w:r>
            <w:fldChar w:fldCharType="begin"/>
          </w:r>
          <w:r>
            <w:instrText xml:space="preserve"> PAGEREF _Toc296 \h </w:instrText>
          </w:r>
          <w:r>
            <w:fldChar w:fldCharType="separate"/>
          </w:r>
          <w:r>
            <w:t>6</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_Toc27705 </w:instrText>
          </w:r>
          <w:r>
            <w:rPr>
              <w:rFonts w:ascii="宋体" w:eastAsia="宋体" w:hAnsi="宋体" w:cs="宋体" w:hint="eastAsia"/>
              <w:szCs w:val="24"/>
            </w:rPr>
            <w:fldChar w:fldCharType="separate"/>
          </w:r>
          <w:r>
            <w:rPr>
              <w:rFonts w:hint="default"/>
              <w:lang w:val="en-US" w:eastAsia="zh-CN"/>
            </w:rPr>
            <w:t>1.4.4. 全体运维人员（知识提交人）</w:t>
          </w:r>
          <w:r>
            <w:tab/>
          </w:r>
          <w:r>
            <w:fldChar w:fldCharType="begin"/>
          </w:r>
          <w:r>
            <w:instrText xml:space="preserve"> PAGEREF _Toc27705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_Toc20523 </w:instrText>
          </w:r>
          <w:r>
            <w:rPr>
              <w:rFonts w:ascii="宋体" w:eastAsia="宋体" w:hAnsi="宋体" w:cs="宋体" w:hint="eastAsia"/>
              <w:szCs w:val="24"/>
            </w:rPr>
            <w:fldChar w:fldCharType="separate"/>
          </w:r>
          <w:r>
            <w:rPr>
              <w:rFonts w:hint="default"/>
              <w:lang w:val="en-US" w:eastAsia="zh-CN"/>
            </w:rPr>
            <w:t xml:space="preserve">2. </w:t>
          </w:r>
          <w:r>
            <w:rPr>
              <w:rFonts w:hint="eastAsia"/>
              <w:lang w:val="en-US" w:eastAsia="zh-CN"/>
            </w:rPr>
            <w:t>引用依据</w:t>
          </w:r>
          <w:r>
            <w:tab/>
          </w:r>
          <w:r>
            <w:fldChar w:fldCharType="begin"/>
          </w:r>
          <w:r>
            <w:instrText xml:space="preserve"> PAGEREF _Toc20523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_Toc2964 </w:instrText>
          </w:r>
          <w:r>
            <w:rPr>
              <w:rFonts w:ascii="宋体" w:eastAsia="宋体" w:hAnsi="宋体" w:cs="宋体" w:hint="eastAsia"/>
              <w:szCs w:val="24"/>
            </w:rPr>
            <w:fldChar w:fldCharType="separate"/>
          </w:r>
          <w:r>
            <w:rPr>
              <w:rFonts w:hint="default"/>
            </w:rPr>
            <w:t xml:space="preserve">3. </w:t>
          </w:r>
          <w:r>
            <w:rPr>
              <w:rFonts w:hint="eastAsia"/>
              <w:lang w:val="en-US" w:eastAsia="zh-CN"/>
            </w:rPr>
            <w:t>定义与术语</w:t>
          </w:r>
          <w:r>
            <w:tab/>
          </w:r>
          <w:r>
            <w:fldChar w:fldCharType="begin"/>
          </w:r>
          <w:r>
            <w:instrText xml:space="preserve"> PAGEREF _Toc2964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_Toc24463 </w:instrText>
          </w:r>
          <w:r>
            <w:rPr>
              <w:rFonts w:ascii="宋体" w:eastAsia="宋体" w:hAnsi="宋体" w:cs="宋体" w:hint="eastAsia"/>
              <w:szCs w:val="24"/>
            </w:rPr>
            <w:fldChar w:fldCharType="separate"/>
          </w:r>
          <w:r>
            <w:rPr>
              <w:rFonts w:hint="default"/>
            </w:rPr>
            <w:t xml:space="preserve">3.1. </w:t>
          </w:r>
          <w:r>
            <w:rPr>
              <w:rFonts w:hint="eastAsia"/>
              <w:lang w:val="en-US" w:eastAsia="zh-CN"/>
            </w:rPr>
            <w:t>服务</w:t>
          </w:r>
          <w:r>
            <w:rPr>
              <w:rFonts w:hint="eastAsia"/>
            </w:rPr>
            <w:t>知识</w:t>
          </w:r>
          <w:r>
            <w:tab/>
          </w:r>
          <w:r>
            <w:fldChar w:fldCharType="begin"/>
          </w:r>
          <w:r>
            <w:instrText xml:space="preserve"> PAGEREF _Toc24463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_Toc23853 </w:instrText>
          </w:r>
          <w:r>
            <w:rPr>
              <w:rFonts w:ascii="宋体" w:eastAsia="宋体" w:hAnsi="宋体" w:cs="宋体" w:hint="eastAsia"/>
              <w:szCs w:val="24"/>
            </w:rPr>
            <w:fldChar w:fldCharType="separate"/>
          </w:r>
          <w:r>
            <w:rPr>
              <w:rFonts w:hint="default"/>
            </w:rPr>
            <w:t xml:space="preserve">3.2. </w:t>
          </w:r>
          <w:r>
            <w:rPr>
              <w:rFonts w:hint="eastAsia"/>
            </w:rPr>
            <w:t>知识生命周期</w:t>
          </w:r>
          <w:r>
            <w:tab/>
          </w:r>
          <w:r>
            <w:fldChar w:fldCharType="begin"/>
          </w:r>
          <w:r>
            <w:instrText xml:space="preserve"> PAGEREF _Toc23853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_Toc4884 </w:instrText>
          </w:r>
          <w:r>
            <w:rPr>
              <w:rFonts w:ascii="宋体" w:eastAsia="宋体" w:hAnsi="宋体" w:cs="宋体" w:hint="eastAsia"/>
              <w:szCs w:val="24"/>
            </w:rPr>
            <w:fldChar w:fldCharType="separate"/>
          </w:r>
          <w:r>
            <w:rPr>
              <w:rFonts w:hint="default"/>
              <w:lang w:val="en-US" w:eastAsia="zh-CN"/>
            </w:rPr>
            <w:t xml:space="preserve">4. </w:t>
          </w:r>
          <w:r>
            <w:rPr>
              <w:rFonts w:hint="eastAsia"/>
              <w:lang w:val="en-US" w:eastAsia="zh-CN"/>
            </w:rPr>
            <w:t>管理内容与要求</w:t>
          </w:r>
          <w:r>
            <w:tab/>
          </w:r>
          <w:r>
            <w:fldChar w:fldCharType="begin"/>
          </w:r>
          <w:r>
            <w:instrText xml:space="preserve"> PAGEREF _Toc4884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_Toc21199 </w:instrText>
          </w:r>
          <w:r>
            <w:rPr>
              <w:rFonts w:ascii="宋体" w:eastAsia="宋体" w:hAnsi="宋体" w:cs="宋体" w:hint="eastAsia"/>
              <w:szCs w:val="24"/>
            </w:rPr>
            <w:fldChar w:fldCharType="separate"/>
          </w:r>
          <w:r>
            <w:rPr>
              <w:rFonts w:hint="default"/>
              <w:lang w:val="en-US" w:eastAsia="zh-CN"/>
            </w:rPr>
            <w:t>4.1. 知识的识别与范围</w:t>
          </w:r>
          <w:r>
            <w:tab/>
          </w:r>
          <w:r>
            <w:fldChar w:fldCharType="begin"/>
          </w:r>
          <w:r>
            <w:instrText xml:space="preserve"> PAGEREF _Toc21199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_Toc26171 </w:instrText>
          </w:r>
          <w:r>
            <w:rPr>
              <w:rFonts w:ascii="宋体" w:eastAsia="宋体" w:hAnsi="宋体" w:cs="宋体" w:hint="eastAsia"/>
              <w:szCs w:val="24"/>
            </w:rPr>
            <w:fldChar w:fldCharType="separate"/>
          </w:r>
          <w:r>
            <w:rPr>
              <w:rFonts w:hint="default"/>
              <w:lang w:val="en-US" w:eastAsia="zh-CN"/>
            </w:rPr>
            <w:t>4.2. 知识提交要求</w:t>
          </w:r>
          <w:r>
            <w:tab/>
          </w:r>
          <w:r>
            <w:fldChar w:fldCharType="begin"/>
          </w:r>
          <w:r>
            <w:instrText xml:space="preserve"> PAGEREF _Toc26171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_Toc3920 </w:instrText>
          </w:r>
          <w:r>
            <w:rPr>
              <w:rFonts w:ascii="宋体" w:eastAsia="宋体" w:hAnsi="宋体" w:cs="宋体" w:hint="eastAsia"/>
              <w:szCs w:val="24"/>
            </w:rPr>
            <w:fldChar w:fldCharType="separate"/>
          </w:r>
          <w:r>
            <w:rPr>
              <w:rFonts w:hint="default"/>
              <w:lang w:val="en-US" w:eastAsia="zh-CN"/>
            </w:rPr>
            <w:t>4.3. 知识内容规范</w:t>
          </w:r>
          <w:r>
            <w:tab/>
          </w:r>
          <w:r>
            <w:fldChar w:fldCharType="begin"/>
          </w:r>
          <w:r>
            <w:instrText xml:space="preserve"> PAGEREF _Toc3920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_Toc6262 </w:instrText>
          </w:r>
          <w:r>
            <w:rPr>
              <w:rFonts w:ascii="宋体" w:eastAsia="宋体" w:hAnsi="宋体" w:cs="宋体" w:hint="eastAsia"/>
              <w:szCs w:val="24"/>
            </w:rPr>
            <w:fldChar w:fldCharType="separate"/>
          </w:r>
          <w:r>
            <w:rPr>
              <w:rFonts w:hint="default"/>
              <w:lang w:val="en-US" w:eastAsia="zh-CN"/>
            </w:rPr>
            <w:t>4.4. 知识访问权限管理</w:t>
          </w:r>
          <w:r>
            <w:tab/>
          </w:r>
          <w:r>
            <w:fldChar w:fldCharType="begin"/>
          </w:r>
          <w:r>
            <w:instrText xml:space="preserve"> PAGEREF _Toc6262 \h </w:instrText>
          </w:r>
          <w:r>
            <w:fldChar w:fldCharType="separate"/>
          </w:r>
          <w:r>
            <w:t>7</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_Toc9348 </w:instrText>
          </w:r>
          <w:r>
            <w:rPr>
              <w:rFonts w:ascii="宋体" w:eastAsia="宋体" w:hAnsi="宋体" w:cs="宋体" w:hint="eastAsia"/>
              <w:szCs w:val="24"/>
            </w:rPr>
            <w:fldChar w:fldCharType="separate"/>
          </w:r>
          <w:r>
            <w:rPr>
              <w:rFonts w:hint="default"/>
              <w:lang w:val="en-US" w:eastAsia="zh-CN"/>
            </w:rPr>
            <w:t>4.4.1. 权限分级原则</w:t>
          </w:r>
          <w:r>
            <w:tab/>
          </w:r>
          <w:r>
            <w:fldChar w:fldCharType="begin"/>
          </w:r>
          <w:r>
            <w:instrText xml:space="preserve"> PAGEREF _Toc9348 \h </w:instrText>
          </w:r>
          <w:r>
            <w:fldChar w:fldCharType="separate"/>
          </w:r>
          <w:r>
            <w:t>7</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_Toc11211 </w:instrText>
          </w:r>
          <w:r>
            <w:rPr>
              <w:rFonts w:ascii="宋体" w:eastAsia="宋体" w:hAnsi="宋体" w:cs="宋体" w:hint="eastAsia"/>
              <w:szCs w:val="24"/>
            </w:rPr>
            <w:fldChar w:fldCharType="separate"/>
          </w:r>
          <w:r>
            <w:rPr>
              <w:rFonts w:hint="default"/>
              <w:lang w:val="en-US" w:eastAsia="zh-CN"/>
            </w:rPr>
            <w:t>4.4.2. 权限申请与审批</w:t>
          </w:r>
          <w:r>
            <w:tab/>
          </w:r>
          <w:r>
            <w:fldChar w:fldCharType="begin"/>
          </w:r>
          <w:r>
            <w:instrText xml:space="preserve"> PAGEREF _Toc11211 \h </w:instrText>
          </w:r>
          <w:r>
            <w:fldChar w:fldCharType="separate"/>
          </w:r>
          <w:r>
            <w:t>8</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_Toc28114 </w:instrText>
          </w:r>
          <w:r>
            <w:rPr>
              <w:rFonts w:ascii="宋体" w:eastAsia="宋体" w:hAnsi="宋体" w:cs="宋体" w:hint="eastAsia"/>
              <w:szCs w:val="24"/>
            </w:rPr>
            <w:fldChar w:fldCharType="separate"/>
          </w:r>
          <w:r>
            <w:rPr>
              <w:rFonts w:hint="default"/>
              <w:lang w:val="en-US" w:eastAsia="zh-CN"/>
            </w:rPr>
            <w:t>4.4.3. 权限定期复审</w:t>
          </w:r>
          <w:r>
            <w:tab/>
          </w:r>
          <w:r>
            <w:fldChar w:fldCharType="begin"/>
          </w:r>
          <w:r>
            <w:instrText xml:space="preserve"> PAGEREF _Toc28114 \h </w:instrText>
          </w:r>
          <w:r>
            <w:fldChar w:fldCharType="separate"/>
          </w:r>
          <w:r>
            <w:t>8</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_Toc20886 </w:instrText>
          </w:r>
          <w:r>
            <w:rPr>
              <w:rFonts w:ascii="宋体" w:eastAsia="宋体" w:hAnsi="宋体" w:cs="宋体" w:hint="eastAsia"/>
              <w:szCs w:val="24"/>
            </w:rPr>
            <w:fldChar w:fldCharType="separate"/>
          </w:r>
          <w:r>
            <w:rPr>
              <w:rFonts w:hint="default"/>
              <w:lang w:val="en-US" w:eastAsia="zh-CN"/>
            </w:rPr>
            <w:t>4.4.4. 敏感知识分级管理</w:t>
          </w:r>
          <w:r>
            <w:tab/>
          </w:r>
          <w:r>
            <w:fldChar w:fldCharType="begin"/>
          </w:r>
          <w:r>
            <w:instrText xml:space="preserve"> PAGEREF _Toc20886 \h </w:instrText>
          </w:r>
          <w:r>
            <w:fldChar w:fldCharType="separate"/>
          </w:r>
          <w:r>
            <w:t>8</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_Toc21620 </w:instrText>
          </w:r>
          <w:r>
            <w:rPr>
              <w:rFonts w:ascii="宋体" w:eastAsia="宋体" w:hAnsi="宋体" w:cs="宋体" w:hint="eastAsia"/>
              <w:szCs w:val="24"/>
            </w:rPr>
            <w:fldChar w:fldCharType="separate"/>
          </w:r>
          <w:r>
            <w:rPr>
              <w:rFonts w:hint="default"/>
              <w:lang w:val="en-US" w:eastAsia="zh-CN"/>
            </w:rPr>
            <w:t>4.4.5. 操作审计</w:t>
          </w:r>
          <w:r>
            <w:tab/>
          </w:r>
          <w:r>
            <w:fldChar w:fldCharType="begin"/>
          </w:r>
          <w:r>
            <w:instrText xml:space="preserve"> PAGEREF _Toc21620 \h </w:instrText>
          </w:r>
          <w:r>
            <w:fldChar w:fldCharType="separate"/>
          </w:r>
          <w:r>
            <w:t>8</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_Toc32331 </w:instrText>
          </w:r>
          <w:r>
            <w:rPr>
              <w:rFonts w:ascii="宋体" w:eastAsia="宋体" w:hAnsi="宋体" w:cs="宋体" w:hint="eastAsia"/>
              <w:szCs w:val="24"/>
            </w:rPr>
            <w:fldChar w:fldCharType="separate"/>
          </w:r>
          <w:r>
            <w:rPr>
              <w:rFonts w:hint="default"/>
              <w:lang w:val="en-US" w:eastAsia="zh-CN"/>
            </w:rPr>
            <w:t>4.5. 知识流程管理</w:t>
          </w:r>
          <w:r>
            <w:tab/>
          </w:r>
          <w:r>
            <w:fldChar w:fldCharType="begin"/>
          </w:r>
          <w:r>
            <w:instrText xml:space="preserve"> PAGEREF _Toc32331 \h </w:instrText>
          </w:r>
          <w:r>
            <w:fldChar w:fldCharType="separate"/>
          </w:r>
          <w:r>
            <w:t>8</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_Toc29349 </w:instrText>
          </w:r>
          <w:r>
            <w:rPr>
              <w:rFonts w:ascii="宋体" w:eastAsia="宋体" w:hAnsi="宋体" w:cs="宋体" w:hint="eastAsia"/>
              <w:szCs w:val="24"/>
            </w:rPr>
            <w:fldChar w:fldCharType="separate"/>
          </w:r>
          <w:r>
            <w:rPr>
              <w:rFonts w:hint="default"/>
              <w:lang w:val="en-US" w:eastAsia="zh-CN"/>
            </w:rPr>
            <w:t xml:space="preserve">4.6. </w:t>
          </w:r>
          <w:r>
            <w:rPr>
              <w:rFonts w:hint="eastAsia"/>
              <w:lang w:val="en-US" w:eastAsia="zh-CN"/>
            </w:rPr>
            <w:t>考核指标</w:t>
          </w:r>
          <w:r>
            <w:tab/>
          </w:r>
          <w:r>
            <w:fldChar w:fldCharType="begin"/>
          </w:r>
          <w:r>
            <w:instrText xml:space="preserve"> PAGEREF _Toc29349 \h </w:instrText>
          </w:r>
          <w:r>
            <w:fldChar w:fldCharType="separate"/>
          </w:r>
          <w:r>
            <w:t>9</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_Toc25708 </w:instrText>
          </w:r>
          <w:r>
            <w:rPr>
              <w:rFonts w:ascii="宋体" w:eastAsia="宋体" w:hAnsi="宋体" w:cs="宋体" w:hint="eastAsia"/>
              <w:szCs w:val="24"/>
            </w:rPr>
            <w:fldChar w:fldCharType="separate"/>
          </w:r>
          <w:r>
            <w:rPr>
              <w:rFonts w:eastAsia="宋体" w:hint="default"/>
              <w:lang w:val="en-US" w:eastAsia="zh-CN"/>
            </w:rPr>
            <w:t xml:space="preserve">5. </w:t>
          </w:r>
          <w:r>
            <w:rPr>
              <w:rFonts w:eastAsia="宋体" w:hint="eastAsia"/>
              <w:lang w:val="en-US" w:eastAsia="zh-CN"/>
            </w:rPr>
            <w:t>附则</w:t>
          </w:r>
          <w:r>
            <w:tab/>
          </w:r>
          <w:r>
            <w:fldChar w:fldCharType="begin"/>
          </w:r>
          <w:r>
            <w:instrText xml:space="preserve"> PAGEREF _Toc25708 \h </w:instrText>
          </w:r>
          <w:r>
            <w:fldChar w:fldCharType="separate"/>
          </w:r>
          <w:r>
            <w:t>9</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_Toc30024 </w:instrText>
          </w:r>
          <w:r>
            <w:rPr>
              <w:rFonts w:ascii="宋体" w:eastAsia="宋体" w:hAnsi="宋体" w:cs="宋体" w:hint="eastAsia"/>
              <w:szCs w:val="24"/>
            </w:rPr>
            <w:fldChar w:fldCharType="separate"/>
          </w:r>
          <w:r>
            <w:rPr>
              <w:rFonts w:hint="default"/>
              <w:lang w:val="en-US" w:eastAsia="zh-CN"/>
            </w:rPr>
            <w:t xml:space="preserve">6. </w:t>
          </w:r>
          <w:r>
            <w:rPr>
              <w:rFonts w:hint="eastAsia"/>
              <w:lang w:val="en-US" w:eastAsia="zh-CN"/>
            </w:rPr>
            <w:t>附件</w:t>
          </w:r>
          <w:r>
            <w:tab/>
          </w:r>
          <w:r>
            <w:fldChar w:fldCharType="begin"/>
          </w:r>
          <w:r>
            <w:instrText xml:space="preserve"> PAGEREF _Toc30024 \h </w:instrText>
          </w:r>
          <w:r>
            <w:fldChar w:fldCharType="separate"/>
          </w:r>
          <w:r>
            <w:t>9</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_Toc22544 </w:instrText>
          </w:r>
          <w:r>
            <w:rPr>
              <w:rFonts w:ascii="宋体" w:eastAsia="宋体" w:hAnsi="宋体" w:cs="宋体" w:hint="eastAsia"/>
              <w:szCs w:val="24"/>
            </w:rPr>
            <w:fldChar w:fldCharType="separate"/>
          </w:r>
          <w:r>
            <w:rPr>
              <w:rFonts w:hint="default"/>
              <w:lang w:val="en-US" w:eastAsia="zh-CN"/>
            </w:rPr>
            <w:t xml:space="preserve">7. </w:t>
          </w:r>
          <w:r>
            <w:rPr>
              <w:rFonts w:hint="eastAsia"/>
              <w:lang w:val="en-US" w:eastAsia="zh-CN"/>
            </w:rPr>
            <w:t>记录</w:t>
          </w:r>
          <w:r>
            <w:tab/>
          </w:r>
          <w:r>
            <w:fldChar w:fldCharType="begin"/>
          </w:r>
          <w:r>
            <w:instrText xml:space="preserve"> PAGEREF _Toc22544 \h </w:instrText>
          </w:r>
          <w:r>
            <w:fldChar w:fldCharType="separate"/>
          </w:r>
          <w:r>
            <w:t>9</w:t>
          </w:r>
          <w:r>
            <w:fldChar w:fldCharType="end"/>
          </w:r>
          <w:r>
            <w:rPr>
              <w:rFonts w:ascii="宋体" w:eastAsia="宋体" w:hAnsi="宋体" w:cs="宋体" w:hint="eastAsia"/>
              <w:szCs w:val="24"/>
            </w:rPr>
            <w:fldChar w:fldCharType="end"/>
          </w:r>
        </w:p>
        <w:p>
          <w:pPr>
            <w:keepNext w:val="0"/>
            <w:keepLines w:val="0"/>
            <w:pageBreakBefore w:val="0"/>
            <w:widowControl w:val="0"/>
            <w:kinsoku w:val="0"/>
            <w:wordWrap/>
            <w:overflowPunct/>
            <w:autoSpaceDE w:val="0"/>
            <w:autoSpaceDN w:val="0"/>
            <w:bidi w:val="0"/>
            <w:adjustRightInd w:val="0"/>
            <w:snapToGrid w:val="0"/>
            <w:textAlignment w:val="baseline"/>
            <w:rPr>
              <w:rFonts w:ascii="宋体" w:eastAsia="宋体" w:hAnsi="宋体" w:cs="宋体" w:hint="eastAsia"/>
              <w:snapToGrid w:val="0"/>
              <w:color w:val="000000"/>
              <w:kern w:val="0"/>
              <w:sz w:val="24"/>
              <w:szCs w:val="24"/>
              <w:lang w:val="en-US" w:eastAsia="en-US" w:bidi="ar-SA"/>
            </w:rPr>
          </w:pPr>
          <w:r>
            <w:rPr>
              <w:rFonts w:ascii="宋体" w:eastAsia="宋体" w:hAnsi="宋体" w:cs="宋体" w:hint="eastAsia"/>
              <w:szCs w:val="24"/>
            </w:rPr>
            <w:fldChar w:fldCharType="end"/>
          </w:r>
        </w:p>
      </w:sdtContent>
    </w:sdt>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snapToGrid w:val="0"/>
          <w:color w:val="000000"/>
          <w:kern w:val="0"/>
          <w:sz w:val="21"/>
          <w:szCs w:val="21"/>
          <w:lang w:val="en-US" w:eastAsia="en-US" w:bidi="ar-SA"/>
        </w:rPr>
      </w:pPr>
      <w:r>
        <w:rPr>
          <w:rFonts w:ascii="Arial" w:eastAsia="Arial" w:hAnsi="Arial" w:cs="Arial"/>
          <w:snapToGrid w:val="0"/>
          <w:color w:val="000000"/>
          <w:kern w:val="0"/>
          <w:sz w:val="21"/>
          <w:szCs w:val="21"/>
          <w:lang w:val="en-US" w:eastAsia="en-US" w:bidi="ar-SA"/>
        </w:rPr>
        <w:br w:type="page"/>
      </w:r>
    </w:p>
    <w:p>
      <w:pPr>
        <w:pStyle w:val="1"/>
        <w:keepNext w:val="0"/>
        <w:keepLines w:val="0"/>
        <w:pageBreakBefore w:val="0"/>
        <w:widowControl w:val="0"/>
        <w:kinsoku w:val="0"/>
        <w:wordWrap/>
        <w:overflowPunct/>
        <w:autoSpaceDE w:val="0"/>
        <w:autoSpaceDN w:val="0"/>
        <w:bidi w:val="0"/>
        <w:adjustRightInd w:val="0"/>
        <w:snapToGrid w:val="0"/>
        <w:textAlignment w:val="baseline"/>
      </w:pPr>
      <w:bookmarkStart w:id="3" w:name="_Toc2757"/>
      <w:r>
        <w:rPr>
          <w:rFonts w:hint="eastAsia"/>
          <w:lang w:val="en-US" w:eastAsia="zh-CN"/>
        </w:rPr>
        <w:t>总则</w:t>
      </w:r>
      <w:bookmarkEnd w:id="3"/>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4" w:name="_Toc5338"/>
      <w:r>
        <w:rPr>
          <w:rFonts w:hint="eastAsia"/>
          <w:lang w:val="en-US" w:eastAsia="zh-CN"/>
        </w:rPr>
        <w:t>目的</w:t>
      </w:r>
      <w:bookmarkEnd w:id="4"/>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为规范公司运维服务知识（以下简称“知识”）的获取、审核、共享、使用及维护过程，构建并持续完善组织过程资产，实现知识的有效积累、共享与复用，提升运维服务效率、质量及人员能力，支持主动预防性运维，保障运维服务体系的持续改进与稳定运行，特制定本制度。</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5" w:name="_Toc26120"/>
      <w:r>
        <w:rPr>
          <w:rFonts w:hint="eastAsia"/>
          <w:lang w:val="en-US" w:eastAsia="zh-CN"/>
        </w:rPr>
        <w:t>适用范围</w:t>
      </w:r>
      <w:bookmarkEnd w:id="5"/>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本制度适用于公司内所有参与运维服务活动及接触运维服务知识的部门与人员，包括但不限于运维部、技术研发部、质量部、综合管理部及采购部。</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6" w:name="_Toc14889"/>
      <w:r>
        <w:rPr>
          <w:rFonts w:hint="eastAsia"/>
          <w:lang w:val="en-US" w:eastAsia="zh-CN"/>
        </w:rPr>
        <w:t>原则</w:t>
      </w:r>
      <w:bookmarkEnd w:id="6"/>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准确性原则：所有入库知识必须经过严格审核，确保内容准确、有效。</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共享性原则：知识应在授权范围内充分共享，促进经验传承与能力提升。</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持续性原则：知识库需进行持续更新与定期复审，以保持其时效性和适用性。</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价值导向原则：知识的采集与提炼应聚焦于对解决实际问题、提升服务效能具有指导价值的经验与方案。</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7" w:name="_Toc25847"/>
      <w:r>
        <w:rPr>
          <w:rFonts w:hint="eastAsia"/>
          <w:lang w:val="en-US" w:eastAsia="zh-CN"/>
        </w:rPr>
        <w:t>岗位职责</w:t>
      </w:r>
      <w:bookmarkEnd w:id="7"/>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8" w:name="_Toc13414"/>
      <w:r>
        <w:rPr>
          <w:rFonts w:hint="default"/>
          <w:lang w:val="en-US" w:eastAsia="zh-CN"/>
        </w:rPr>
        <w:t>运维部</w:t>
      </w:r>
      <w:bookmarkEnd w:id="8"/>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作为知识的主要产生和使用部门，负责组织运维工程师提交知识、提名部门内知识审核人，并推动知识的日常应用与反馈。</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9" w:name="_Toc17986"/>
      <w:r>
        <w:rPr>
          <w:rFonts w:hint="default"/>
          <w:lang w:val="en-US" w:eastAsia="zh-CN"/>
        </w:rPr>
        <w:t>质量部</w:t>
      </w:r>
      <w:bookmarkEnd w:id="9"/>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负责监督知识管理全过程的质量，确保流程符合ITSS标准及公司质量管理体系要求，并可提名跨部门知识审核人。</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p>
    <w:p>
      <w:pPr>
        <w:pStyle w:val="3"/>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10" w:name="_Toc296"/>
      <w:r>
        <w:rPr>
          <w:rFonts w:hint="eastAsia"/>
          <w:lang w:val="en-US" w:eastAsia="zh-CN"/>
        </w:rPr>
        <w:t>服务知识专员</w:t>
      </w:r>
      <w:bookmarkEnd w:id="10"/>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通常由运维部指定专人担任，负责知识的最终发布、分类、存储、归档、共享推广及组织定期复审。</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1" w:name="_Toc27705"/>
      <w:r>
        <w:rPr>
          <w:rFonts w:hint="default"/>
          <w:lang w:val="en-US" w:eastAsia="zh-CN"/>
        </w:rPr>
        <w:t>全体运维人员（知识提交人）</w:t>
      </w:r>
      <w:bookmarkEnd w:id="11"/>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负责在日常工作中识别、提炼并提交知识，对知识库中过时或错误的内容及时反馈。</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12" w:name="_Toc20523"/>
      <w:r>
        <w:rPr>
          <w:rFonts w:hint="eastAsia"/>
          <w:lang w:val="en-US" w:eastAsia="zh-CN"/>
        </w:rPr>
        <w:t>引用依据</w:t>
      </w:r>
      <w:bookmarkEnd w:id="12"/>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GB/T 28827.1-2022 《信息技术服务 运行维护 第1部分：通用要求》</w:t>
      </w:r>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GB/T 28827.2-2012 《信息技术服务 运行维护 第2部分：交付规范》</w:t>
      </w:r>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GB/T 28827.3-2012 《信息技术服务 运行维护 第3部分：应急响应规范》</w:t>
      </w:r>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T/CESA 1299—2023 《信息技术服务 运行维护服务能力成熟度模型》</w:t>
      </w:r>
    </w:p>
    <w:p>
      <w:pPr>
        <w:pStyle w:val="1"/>
        <w:keepNext w:val="0"/>
        <w:keepLines w:val="0"/>
        <w:pageBreakBefore w:val="0"/>
        <w:widowControl w:val="0"/>
        <w:kinsoku w:val="0"/>
        <w:wordWrap/>
        <w:overflowPunct/>
        <w:autoSpaceDE w:val="0"/>
        <w:autoSpaceDN w:val="0"/>
        <w:bidi w:val="0"/>
        <w:adjustRightInd w:val="0"/>
        <w:snapToGrid w:val="0"/>
        <w:textAlignment w:val="baseline"/>
      </w:pPr>
      <w:bookmarkStart w:id="13" w:name="_Toc2964"/>
      <w:r>
        <w:rPr>
          <w:rFonts w:hint="eastAsia"/>
          <w:lang w:val="en-US" w:eastAsia="zh-CN"/>
        </w:rPr>
        <w:t>定义与术语</w:t>
      </w:r>
      <w:bookmarkEnd w:id="13"/>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4" w:name="_Toc24463"/>
      <w:r>
        <w:rPr>
          <w:rFonts w:hint="eastAsia"/>
          <w:lang w:val="en-US" w:eastAsia="zh-CN"/>
        </w:rPr>
        <w:t>服务</w:t>
      </w:r>
      <w:r>
        <w:rPr>
          <w:rFonts w:hint="eastAsia"/>
        </w:rPr>
        <w:t>知识</w:t>
      </w:r>
      <w:bookmarkEnd w:id="14"/>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在运维服务过程中，通过对问题的分析、事件的解决及经验的积累所形成的，能够指导未来工作、提升运维效率与质量的系统性信息。主要包括但不限于：已验证的解决方案、故障处理方案、问题与已知错误、标准操作程序、技术白皮书等。</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用于存储、管理、共享知识的信息系统，是组织过程资产的核心组成部分。</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5" w:name="_Toc23853"/>
      <w:r>
        <w:rPr>
          <w:rFonts w:hint="eastAsia"/>
        </w:rPr>
        <w:t>知识生命周期</w:t>
      </w:r>
      <w:bookmarkEnd w:id="15"/>
    </w:p>
    <w:p>
      <w:pPr>
        <w:pStyle w:val="a1"/>
        <w:keepNext w:val="0"/>
        <w:keepLines w:val="0"/>
        <w:pageBreakBefore w:val="0"/>
        <w:widowControl w:val="0"/>
        <w:kinsoku w:val="0"/>
        <w:wordWrap/>
        <w:overflowPunct/>
        <w:autoSpaceDE w:val="0"/>
        <w:autoSpaceDN w:val="0"/>
        <w:bidi w:val="0"/>
        <w:adjustRightInd w:val="0"/>
        <w:snapToGrid w:val="0"/>
        <w:textAlignment w:val="baseline"/>
      </w:pPr>
      <w:r>
        <w:rPr>
          <w:rFonts w:hint="eastAsia"/>
        </w:rPr>
        <w:t>指知识从识别、提交、审核、发布、使用、复审到归档或废止的全过程。</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6" w:name="_Toc4884"/>
      <w:r>
        <w:rPr>
          <w:rFonts w:hint="eastAsia"/>
          <w:lang w:val="en-US" w:eastAsia="zh-CN"/>
        </w:rPr>
        <w:t>管理内容与要求</w:t>
      </w:r>
      <w:bookmarkEnd w:id="16"/>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7" w:name="_Toc21199"/>
      <w:r>
        <w:rPr>
          <w:rFonts w:hint="default"/>
          <w:lang w:val="en-US" w:eastAsia="zh-CN"/>
        </w:rPr>
        <w:t>知识的识别与范围</w:t>
      </w:r>
      <w:bookmarkEnd w:id="17"/>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在运维服务活动中，以下内容应被识别并提炼为知识：</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重大事件、问题的根本原因分析与最终解决方案。</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已验证可复用于解决某一类事件或问题的标准化解决方案。</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常见的已知错误及其规避或临时处理措施。</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标准化的系统配置、操作手册、巡检清单等技术文档。</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其他对运维工作具有显著指导意义的技术与管理经验。</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8" w:name="_Toc26171"/>
      <w:r>
        <w:rPr>
          <w:rFonts w:hint="default"/>
          <w:lang w:val="en-US" w:eastAsia="zh-CN"/>
        </w:rPr>
        <w:t>知识提交要求</w:t>
      </w:r>
      <w:bookmarkEnd w:id="18"/>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各运维工程师应按季度指标要求，完成规定数量且通过审核的知识提交。</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知识提交应遵循“随产生、随提交”的原则，确保知识的及时性。</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提交人须确保知识内容真实、来源清晰，并使用公司规定的统一模板。</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9" w:name="_Toc3920"/>
      <w:r>
        <w:rPr>
          <w:rFonts w:hint="default"/>
          <w:lang w:val="en-US" w:eastAsia="zh-CN"/>
        </w:rPr>
        <w:t>知识内容规范</w:t>
      </w:r>
      <w:bookmarkEnd w:id="19"/>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标题规范： 格式为“【分类】+ 核心问题现象简述”，要求简洁、明确。</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内容结构： 必须包含“症状描述”和“解决方案”两部分。症状描述应清晰阐述现象、环境等信息；解决方案应详述分析过程、操作步骤及验证结果。</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信息脱敏： 内容中不得出现客户敏感信息、个人隐私、具体人员姓名及具体时间等。</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格式与版权： 必须使用公司规定的知识文档格式。引用互联网内容需清除原文格式及水印，并注明出处，禁止直接复制粘贴。</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0" w:name="_Toc6262"/>
      <w:r>
        <w:rPr>
          <w:rFonts w:hint="default"/>
          <w:lang w:val="en-US" w:eastAsia="zh-CN"/>
        </w:rPr>
        <w:t>知识访问权限管理</w:t>
      </w:r>
      <w:bookmarkEnd w:id="20"/>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为保障知识资产的安全性与保密性，建立知识访问权限控制机制：</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1" w:name="_Toc9348"/>
      <w:r>
        <w:rPr>
          <w:rFonts w:hint="default"/>
          <w:lang w:val="en-US" w:eastAsia="zh-CN"/>
        </w:rPr>
        <w:t>权限分级原则</w:t>
      </w:r>
      <w:bookmarkEnd w:id="21"/>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遵循"最小权限"原则，根据岗位职责授予不同的知识访问权限：</w:t>
      </w:r>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166"/>
        <w:gridCol w:w="4198"/>
        <w:gridCol w:w="3158"/>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1166" w:type="dxa"/>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b/>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权限等级</w:t>
            </w:r>
          </w:p>
        </w:tc>
        <w:tc>
          <w:tcPr>
            <w:tcW w:w="4199"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适用范围</w:t>
            </w:r>
          </w:p>
        </w:tc>
        <w:tc>
          <w:tcPr>
            <w:tcW w:w="3158"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权限内容</w:t>
            </w:r>
          </w:p>
        </w:tc>
      </w:tr>
      <w:tr>
        <w:tblPrEx>
          <w:tblW w:w="8522" w:type="dxa"/>
          <w:jc w:val="center"/>
          <w:shd w:val="clear" w:color="auto" w:fill="auto"/>
          <w:tblCellMar>
            <w:top w:w="15" w:type="dxa"/>
            <w:left w:w="15" w:type="dxa"/>
            <w:bottom w:w="15" w:type="dxa"/>
            <w:right w:w="15" w:type="dxa"/>
          </w:tblCellMar>
        </w:tblPrEx>
        <w:trPr>
          <w:trHeight w:val="0"/>
          <w:jc w:val="center"/>
        </w:trPr>
        <w:tc>
          <w:tcPr>
            <w:tcW w:w="1166"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管理员权限</w:t>
            </w:r>
          </w:p>
        </w:tc>
        <w:tc>
          <w:tcPr>
            <w:tcW w:w="4199"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服务知识专员、运维部经理</w:t>
            </w:r>
          </w:p>
        </w:tc>
        <w:tc>
          <w:tcPr>
            <w:tcW w:w="315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知识发布、编辑、删除、权限配置、归档管理</w:t>
            </w:r>
          </w:p>
        </w:tc>
      </w:tr>
      <w:tr>
        <w:tblPrEx>
          <w:tblW w:w="8522" w:type="dxa"/>
          <w:jc w:val="center"/>
          <w:shd w:val="clear" w:color="auto" w:fill="auto"/>
          <w:tblCellMar>
            <w:top w:w="15" w:type="dxa"/>
            <w:left w:w="15" w:type="dxa"/>
            <w:bottom w:w="15" w:type="dxa"/>
            <w:right w:w="15" w:type="dxa"/>
          </w:tblCellMar>
        </w:tblPrEx>
        <w:trPr>
          <w:trHeight w:val="0"/>
          <w:jc w:val="center"/>
        </w:trPr>
        <w:tc>
          <w:tcPr>
            <w:tcW w:w="1166"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编辑权限</w:t>
            </w:r>
          </w:p>
        </w:tc>
        <w:tc>
          <w:tcPr>
            <w:tcW w:w="4199"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知识审核人、运维工程师</w:t>
            </w:r>
          </w:p>
        </w:tc>
        <w:tc>
          <w:tcPr>
            <w:tcW w:w="315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知识提交、编辑、更新</w:t>
            </w:r>
          </w:p>
        </w:tc>
      </w:tr>
      <w:tr>
        <w:tblPrEx>
          <w:tblW w:w="8522" w:type="dxa"/>
          <w:jc w:val="center"/>
          <w:shd w:val="clear" w:color="auto" w:fill="auto"/>
          <w:tblCellMar>
            <w:top w:w="15" w:type="dxa"/>
            <w:left w:w="15" w:type="dxa"/>
            <w:bottom w:w="15" w:type="dxa"/>
            <w:right w:w="15" w:type="dxa"/>
          </w:tblCellMar>
        </w:tblPrEx>
        <w:trPr>
          <w:trHeight w:val="0"/>
          <w:jc w:val="center"/>
        </w:trPr>
        <w:tc>
          <w:tcPr>
            <w:tcW w:w="1166"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只读权限</w:t>
            </w:r>
          </w:p>
        </w:tc>
        <w:tc>
          <w:tcPr>
            <w:tcW w:w="4199"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全体运维人员、质量部、技术研发部、综合管理部、采购部</w:t>
            </w:r>
          </w:p>
        </w:tc>
        <w:tc>
          <w:tcPr>
            <w:tcW w:w="3158"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知识检索、查看、引用</w:t>
            </w:r>
          </w:p>
        </w:tc>
      </w:tr>
    </w:tbl>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2" w:name="_Toc11211"/>
      <w:r>
        <w:rPr>
          <w:rFonts w:hint="default"/>
          <w:lang w:val="en-US" w:eastAsia="zh-CN"/>
        </w:rPr>
        <w:t>权限申请与审批</w:t>
      </w:r>
      <w:bookmarkEnd w:id="22"/>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员工因工作需要申请知识库访问权限时，填写《知识库权限申请表》（附件三），说明申请权限等级和事由。</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由申请人所在部门负责人审批，服务知识专员负责配置权限。</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权限申请需在3个工作日内完成审批与配置。</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3" w:name="_Toc28114"/>
      <w:r>
        <w:rPr>
          <w:rFonts w:hint="default"/>
          <w:lang w:val="en-US" w:eastAsia="zh-CN"/>
        </w:rPr>
        <w:t>权限定期复审</w:t>
      </w:r>
      <w:bookmarkEnd w:id="23"/>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服务知识专员每年至少组织一次权限复审，核对现有权限与当前岗位职责是否匹配。</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对岗位变动或离职员工，应在3个工作日内完成权限回收。</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权限复审结果记录于《知识库权限复审记录表》（附件四），并归档保存。</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4" w:name="_Toc20886"/>
      <w:r>
        <w:rPr>
          <w:rFonts w:hint="default"/>
          <w:lang w:val="en-US" w:eastAsia="zh-CN"/>
        </w:rPr>
        <w:t>敏感知识分级管理</w:t>
      </w:r>
      <w:bookmarkEnd w:id="24"/>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对于涉及客户敏感信息、核心系统架构、安全漏洞细节等敏感知识，设置更高访问门槛：</w:t>
      </w:r>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157"/>
        <w:gridCol w:w="3904"/>
        <w:gridCol w:w="3434"/>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敏感等级</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定义</w:t>
            </w:r>
          </w:p>
        </w:tc>
        <w:tc>
          <w:tcPr>
            <w:tcW w:w="3434"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访问要求</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一般知识</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常规技术方案、操作手册</w:t>
            </w:r>
          </w:p>
        </w:tc>
        <w:tc>
          <w:tcPr>
            <w:tcW w:w="3434"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只读权限即可访问</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敏感知识</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涉及客户业务信息、核心系统配置</w:t>
            </w:r>
          </w:p>
        </w:tc>
        <w:tc>
          <w:tcPr>
            <w:tcW w:w="3434"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需部门负责人审批后访问</w:t>
            </w:r>
          </w:p>
        </w:tc>
      </w:tr>
      <w:tr>
        <w:tblPrEx>
          <w:tblW w:w="8495" w:type="dxa"/>
          <w:jc w:val="center"/>
          <w:shd w:val="clear" w:color="auto" w:fill="auto"/>
          <w:tblCellMar>
            <w:top w:w="15" w:type="dxa"/>
            <w:left w:w="15" w:type="dxa"/>
            <w:bottom w:w="15" w:type="dxa"/>
            <w:right w:w="15" w:type="dxa"/>
          </w:tblCellMar>
        </w:tblPrEx>
        <w:trPr>
          <w:trHeight w:val="0"/>
          <w:jc w:val="center"/>
        </w:trPr>
        <w:tc>
          <w:tcPr>
            <w:tcW w:w="1157"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机密知识</w:t>
            </w:r>
          </w:p>
        </w:tc>
        <w:tc>
          <w:tcPr>
            <w:tcW w:w="3904"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安全漏洞细节、未公开应急预案</w:t>
            </w:r>
          </w:p>
        </w:tc>
        <w:tc>
          <w:tcPr>
            <w:tcW w:w="3434"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仅限运维部经理及指定人员访问</w:t>
            </w:r>
          </w:p>
        </w:tc>
      </w:tr>
    </w:tbl>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5" w:name="_Toc21620"/>
      <w:r>
        <w:rPr>
          <w:rFonts w:hint="default"/>
          <w:lang w:val="en-US" w:eastAsia="zh-CN"/>
        </w:rPr>
        <w:t>操作审计</w:t>
      </w:r>
      <w:bookmarkEnd w:id="25"/>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服务知识专员定期对知识库的访问日志、编辑记录进行抽查，发现异常访问或操作时及时上报运维部经理处理。</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6" w:name="_Toc32331"/>
      <w:r>
        <w:rPr>
          <w:rFonts w:hint="default"/>
          <w:lang w:val="en-US" w:eastAsia="zh-CN"/>
        </w:rPr>
        <w:t>知识流程管理</w:t>
      </w:r>
      <w:bookmarkEnd w:id="26"/>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知识生命周期管理遵循以下核心流程，</w:t>
      </w:r>
      <w:r>
        <w:rPr>
          <w:rFonts w:hint="eastAsia"/>
          <w:lang w:val="en-US" w:eastAsia="zh-CN"/>
        </w:rPr>
        <w:t>提交-&gt;审核-&gt;发布-&gt;适用于共享-&gt;定期复审</w:t>
      </w:r>
      <w:r>
        <w:rPr>
          <w:rFonts w:hint="default"/>
          <w:lang w:val="en-US" w:eastAsia="zh-CN"/>
        </w:rPr>
        <w:t>。</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提交： 知识提交人收集素材，填写《知识提交单》（附件二），提交至知识审核人。</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审核： 知识审核人对知识的准确性、价值性、规范性进行评审，给出“通过”、“修改后提交”或“驳回”的结论。</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发布： 知识管理员对审核通过的知识进行最终格式校对、分类与编码，并发布至知识库，通知相关人员。</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使用与共享：全体员工应优先在知识库中检索解决方案。知识管理员应通过多种方式推广重要知识的应用。</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定期复审：知识管理员每年至少组织一次全面复审，由知识审核人对库内知识的有效性进行评定，确定其状态为“有效”、“需更新”或“废止”。</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7" w:name="_Toc29349"/>
      <w:r>
        <w:rPr>
          <w:rFonts w:hint="eastAsia"/>
          <w:lang w:val="en-US" w:eastAsia="zh-CN"/>
        </w:rPr>
        <w:t>考核指标</w:t>
      </w:r>
      <w:bookmarkEnd w:id="27"/>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41"/>
        <w:gridCol w:w="2049"/>
        <w:gridCol w:w="3427"/>
        <w:gridCol w:w="1107"/>
        <w:gridCol w:w="1094"/>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841"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序号</w:t>
            </w:r>
          </w:p>
        </w:tc>
        <w:tc>
          <w:tcPr>
            <w:tcW w:w="2049"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衡量指标</w:t>
            </w:r>
          </w:p>
        </w:tc>
        <w:tc>
          <w:tcPr>
            <w:tcW w:w="3427"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指标计算说明</w:t>
            </w:r>
          </w:p>
        </w:tc>
        <w:tc>
          <w:tcPr>
            <w:tcW w:w="1107"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考核频次</w:t>
            </w:r>
          </w:p>
        </w:tc>
        <w:tc>
          <w:tcPr>
            <w:tcW w:w="1094"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目标值</w:t>
            </w:r>
          </w:p>
        </w:tc>
      </w:tr>
      <w:tr>
        <w:tblPrEx>
          <w:tblW w:w="0" w:type="auto"/>
          <w:jc w:val="center"/>
          <w:tblCellMar>
            <w:top w:w="0" w:type="dxa"/>
            <w:left w:w="108" w:type="dxa"/>
            <w:bottom w:w="0" w:type="dxa"/>
            <w:right w:w="108" w:type="dxa"/>
          </w:tblCellMar>
        </w:tblPrEx>
        <w:trPr>
          <w:jc w:val="center"/>
        </w:trPr>
        <w:tc>
          <w:tcPr>
            <w:tcW w:w="841"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1</w:t>
            </w:r>
          </w:p>
        </w:tc>
        <w:tc>
          <w:tcPr>
            <w:tcW w:w="2049"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eastAsia="宋体" w:hint="default"/>
                <w:sz w:val="21"/>
                <w:szCs w:val="21"/>
                <w:vertAlign w:val="baseline"/>
                <w:lang w:val="en-US" w:eastAsia="zh-CN"/>
              </w:rPr>
            </w:pPr>
            <w:r>
              <w:rPr>
                <w:rFonts w:hint="eastAsia"/>
                <w:sz w:val="21"/>
                <w:szCs w:val="21"/>
                <w:vertAlign w:val="baseline"/>
                <w:lang w:val="en-US" w:eastAsia="zh-CN"/>
              </w:rPr>
              <w:t>服务知识利用率</w:t>
            </w:r>
          </w:p>
        </w:tc>
        <w:tc>
          <w:tcPr>
            <w:tcW w:w="3427"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eastAsia="宋体" w:hint="default"/>
                <w:sz w:val="21"/>
                <w:szCs w:val="21"/>
                <w:vertAlign w:val="baseline"/>
                <w:lang w:val="en-US" w:eastAsia="zh-CN"/>
              </w:rPr>
            </w:pPr>
            <w:r>
              <w:rPr>
                <w:rFonts w:hint="eastAsia"/>
                <w:sz w:val="21"/>
                <w:szCs w:val="21"/>
                <w:vertAlign w:val="baseline"/>
                <w:lang w:val="en-US" w:eastAsia="zh-CN"/>
              </w:rPr>
              <w:t>（引用知识库解决的工单数/考核期内工单总数）*100%</w:t>
            </w:r>
          </w:p>
        </w:tc>
        <w:tc>
          <w:tcPr>
            <w:tcW w:w="1107"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月度</w:t>
            </w:r>
          </w:p>
        </w:tc>
        <w:tc>
          <w:tcPr>
            <w:tcW w:w="1094"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vertAlign w:val="baseline"/>
                <w:lang w:val="en-US" w:eastAsia="zh-CN"/>
              </w:rPr>
            </w:pPr>
            <w:r>
              <w:rPr>
                <w:rFonts w:ascii="微软雅黑" w:eastAsia="微软雅黑" w:hAnsi="微软雅黑" w:cs="微软雅黑" w:hint="eastAsia"/>
                <w:sz w:val="21"/>
                <w:szCs w:val="21"/>
                <w:vertAlign w:val="baseline"/>
                <w:lang w:val="en-US" w:eastAsia="zh-CN"/>
              </w:rPr>
              <w:t>≥50</w:t>
            </w:r>
            <w:r>
              <w:rPr>
                <w:rFonts w:hint="eastAsia"/>
                <w:sz w:val="21"/>
                <w:szCs w:val="21"/>
                <w:vertAlign w:val="baseline"/>
                <w:lang w:val="en-US" w:eastAsia="zh-CN"/>
              </w:rPr>
              <w:t>%</w:t>
            </w:r>
          </w:p>
        </w:tc>
      </w:tr>
      <w:tr>
        <w:tblPrEx>
          <w:tblW w:w="0" w:type="auto"/>
          <w:jc w:val="center"/>
          <w:tblCellMar>
            <w:top w:w="0" w:type="dxa"/>
            <w:left w:w="108" w:type="dxa"/>
            <w:bottom w:w="0" w:type="dxa"/>
            <w:right w:w="108" w:type="dxa"/>
          </w:tblCellMar>
        </w:tblPrEx>
        <w:trPr>
          <w:jc w:val="center"/>
        </w:trPr>
        <w:tc>
          <w:tcPr>
            <w:tcW w:w="841"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2</w:t>
            </w:r>
          </w:p>
        </w:tc>
        <w:tc>
          <w:tcPr>
            <w:tcW w:w="2049"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服务知识新增条目</w:t>
            </w:r>
          </w:p>
        </w:tc>
        <w:tc>
          <w:tcPr>
            <w:tcW w:w="3427"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数量，每季度新录入的服务知识</w:t>
            </w:r>
          </w:p>
        </w:tc>
        <w:tc>
          <w:tcPr>
            <w:tcW w:w="1107"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季度</w:t>
            </w:r>
          </w:p>
        </w:tc>
        <w:tc>
          <w:tcPr>
            <w:tcW w:w="1094"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ascii="微软雅黑" w:eastAsia="微软雅黑" w:hAnsi="微软雅黑" w:cs="微软雅黑" w:hint="default"/>
                <w:sz w:val="21"/>
                <w:szCs w:val="21"/>
                <w:vertAlign w:val="baseline"/>
                <w:lang w:val="en-US" w:eastAsia="zh-CN"/>
              </w:rPr>
            </w:pPr>
            <w:r>
              <w:rPr>
                <w:rFonts w:ascii="微软雅黑" w:eastAsia="微软雅黑" w:hAnsi="微软雅黑" w:cs="微软雅黑" w:hint="eastAsia"/>
                <w:sz w:val="21"/>
                <w:szCs w:val="21"/>
                <w:vertAlign w:val="baseline"/>
                <w:lang w:val="en-US" w:eastAsia="zh-CN"/>
              </w:rPr>
              <w:t>≥30条</w:t>
            </w:r>
          </w:p>
        </w:tc>
      </w:tr>
    </w:tbl>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p>
    <w:p>
      <w:pPr>
        <w:pStyle w:val="1"/>
        <w:keepNext w:val="0"/>
        <w:keepLines w:val="0"/>
        <w:pageBreakBefore w:val="0"/>
        <w:widowControl w:val="0"/>
        <w:kinsoku w:val="0"/>
        <w:wordWrap/>
        <w:overflowPunct/>
        <w:autoSpaceDE w:val="0"/>
        <w:autoSpaceDN w:val="0"/>
        <w:bidi w:val="0"/>
        <w:adjustRightInd w:val="0"/>
        <w:snapToGrid w:val="0"/>
        <w:textAlignment w:val="baseline"/>
        <w:rPr>
          <w:rStyle w:val="1Char"/>
          <w:rFonts w:eastAsia="宋体" w:hint="default"/>
          <w:lang w:val="en-US" w:eastAsia="zh-CN"/>
        </w:rPr>
      </w:pPr>
      <w:bookmarkStart w:id="28" w:name="bookmark3"/>
      <w:bookmarkEnd w:id="28"/>
      <w:bookmarkStart w:id="29" w:name="_Toc17424"/>
      <w:bookmarkStart w:id="30" w:name="_Toc25708"/>
      <w:r>
        <w:rPr>
          <w:rStyle w:val="1Char"/>
          <w:rFonts w:eastAsia="宋体" w:hint="eastAsia"/>
          <w:lang w:val="en-US" w:eastAsia="zh-CN"/>
        </w:rPr>
        <w:t>附则</w:t>
      </w:r>
      <w:bookmarkEnd w:id="29"/>
      <w:bookmarkEnd w:id="30"/>
    </w:p>
    <w:p>
      <w:pPr>
        <w:keepNext w:val="0"/>
        <w:keepLines w:val="0"/>
        <w:pageBreakBefore w:val="0"/>
        <w:widowControl w:val="0"/>
        <w:numPr>
          <w:ilvl w:val="0"/>
          <w:numId w:val="3"/>
        </w:numPr>
        <w:kinsoku w:val="0"/>
        <w:wordWrap/>
        <w:overflowPunct/>
        <w:topLinePunct/>
        <w:autoSpaceDE w:val="0"/>
        <w:autoSpaceDN w:val="0"/>
        <w:bidi w:val="0"/>
        <w:adjustRightInd w:val="0"/>
        <w:snapToGrid w:val="0"/>
        <w:spacing w:line="360" w:lineRule="auto"/>
        <w:ind w:left="425" w:hanging="425" w:leftChars="0" w:firstLineChars="0"/>
        <w:textAlignment w:val="baseline"/>
        <w:rPr>
          <w:rFonts w:ascii="宋体" w:eastAsia="宋体" w:hAnsi="宋体" w:cs="宋体"/>
          <w:sz w:val="24"/>
          <w:szCs w:val="24"/>
        </w:rPr>
      </w:pPr>
      <w:r>
        <w:rPr>
          <w:rFonts w:ascii="宋体" w:eastAsia="宋体" w:hAnsi="宋体" w:cs="宋体"/>
          <w:spacing w:val="-1"/>
          <w:sz w:val="24"/>
          <w:szCs w:val="24"/>
        </w:rPr>
        <w:t>本制度最终解释权和修订权归</w:t>
      </w:r>
      <w:r>
        <w:rPr>
          <w:rFonts w:ascii="宋体" w:hAnsi="宋体" w:cs="宋体" w:hint="eastAsia"/>
          <w:spacing w:val="-1"/>
          <w:sz w:val="24"/>
          <w:szCs w:val="24"/>
          <w:lang w:val="en-US" w:eastAsia="zh-CN"/>
        </w:rPr>
        <w:t>运维部</w:t>
      </w:r>
      <w:r>
        <w:rPr>
          <w:rFonts w:ascii="宋体" w:eastAsia="宋体" w:hAnsi="宋体" w:cs="宋体"/>
          <w:spacing w:val="-1"/>
          <w:sz w:val="24"/>
          <w:szCs w:val="24"/>
        </w:rPr>
        <w:t>。</w:t>
      </w:r>
    </w:p>
    <w:p>
      <w:pPr>
        <w:keepNext w:val="0"/>
        <w:keepLines w:val="0"/>
        <w:pageBreakBefore w:val="0"/>
        <w:widowControl w:val="0"/>
        <w:numPr>
          <w:ilvl w:val="0"/>
          <w:numId w:val="3"/>
        </w:numPr>
        <w:kinsoku w:val="0"/>
        <w:wordWrap/>
        <w:overflowPunct/>
        <w:topLinePunct/>
        <w:autoSpaceDE w:val="0"/>
        <w:autoSpaceDN w:val="0"/>
        <w:bidi w:val="0"/>
        <w:adjustRightInd w:val="0"/>
        <w:snapToGrid w:val="0"/>
        <w:spacing w:line="360" w:lineRule="auto"/>
        <w:ind w:left="425" w:hanging="425" w:leftChars="0" w:firstLineChars="0"/>
        <w:textAlignment w:val="baseline"/>
        <w:rPr>
          <w:rFonts w:hint="default"/>
          <w:lang w:val="en-US" w:eastAsia="zh-CN"/>
        </w:rPr>
      </w:pPr>
      <w:r>
        <w:rPr>
          <w:rFonts w:ascii="宋体" w:eastAsia="宋体" w:hAnsi="宋体" w:cs="宋体"/>
          <w:spacing w:val="-2"/>
          <w:sz w:val="24"/>
          <w:szCs w:val="24"/>
        </w:rPr>
        <w:t>本制度自颁布之日起施行。</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31" w:name="bookmark14"/>
      <w:bookmarkEnd w:id="31"/>
      <w:bookmarkStart w:id="32" w:name="_Toc30024"/>
      <w:r>
        <w:rPr>
          <w:rFonts w:hint="eastAsia"/>
          <w:lang w:val="en-US" w:eastAsia="zh-CN"/>
        </w:rPr>
        <w:t>附件</w:t>
      </w:r>
      <w:bookmarkEnd w:id="32"/>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eastAsia"/>
          <w:lang w:val="en-US" w:eastAsia="zh-CN"/>
        </w:rPr>
        <w:t>无</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33" w:name="_Toc22544"/>
      <w:r>
        <w:rPr>
          <w:rFonts w:hint="eastAsia"/>
          <w:lang w:val="en-US" w:eastAsia="zh-CN"/>
        </w:rPr>
        <w:t>记录</w:t>
      </w:r>
      <w:bookmarkEnd w:id="33"/>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eastAsia"/>
          <w:lang w:val="en-US" w:eastAsia="zh-CN"/>
        </w:rPr>
        <w:t>无</w:t>
      </w:r>
    </w:p>
    <w:sectPr>
      <w:headerReference w:type="default" r:id="rId6"/>
      <w:pgSz w:w="11906" w:h="16838"/>
      <w:pgMar w:top="1417" w:right="1800" w:bottom="1440" w:left="1800" w:header="114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tabs>
        <w:tab w:val="left" w:pos="335"/>
        <w:tab w:val="right" w:pos="8426"/>
      </w:tabs>
      <w:jc w:val="right"/>
      <w:rPr>
        <w:rFonts w:eastAsiaTheme="minorEastAsia" w:hint="eastAsia"/>
        <w:lang w:eastAsia="zh-CN"/>
      </w:rPr>
    </w:pPr>
    <w:r>
      <w:rPr>
        <w:rFonts w:eastAsiaTheme="minorEastAsia" w:hint="eastAsia"/>
        <w:lang w:val="en-US" w:eastAsia="zh-CN"/>
      </w:rPr>
      <w:tab/>
    </w:r>
    <w:r>
      <w:rPr>
        <w:rFonts w:eastAsiaTheme="minorEastAsia" w:hint="eastAsia"/>
        <w:lang w:val="en-US" w:eastAsia="zh-CN"/>
      </w:rPr>
      <w:tab/>
    </w:r>
    <w:r>
      <w:rPr>
        <w:rFonts w:eastAsiaTheme="minorEastAsia" w:hint="eastAsia"/>
        <w:lang w:val="en-US" w:eastAsia="zh-CN"/>
      </w:rPr>
      <w:t>肇庆市天鹰生物科技有限公司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1F05015D"/>
    <w:multiLevelType w:val="singleLevel"/>
    <w:tmpl w:val="1F05015D"/>
    <w:lvl w:ilvl="0">
      <w:start w:val="1"/>
      <w:numFmt w:val="decimal"/>
      <w:lvlText w:val="%1."/>
      <w:lvlJc w:val="left"/>
      <w:pPr>
        <w:ind w:left="425" w:hanging="425"/>
      </w:pPr>
      <w:rPr>
        <w:rFonts w:hint="default"/>
      </w:rPr>
    </w:lvl>
  </w:abstractNum>
  <w:abstractNum w:abstractNumId="2">
    <w:nsid w:val="2599922A"/>
    <w:multiLevelType w:val="singleLevel"/>
    <w:tmpl w:val="2599922A"/>
    <w:lvl w:ilvl="0">
      <w:start w:val="1"/>
      <w:numFmt w:val="decimal"/>
      <w:lvlText w:val="%1."/>
      <w:lvlJc w:val="left"/>
      <w:pPr>
        <w:ind w:left="425" w:hanging="425"/>
      </w:pPr>
      <w:rPr>
        <w:rFont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table" w:customStyle="1" w:styleId="TableNormal1">
    <w:name w:val="Table Normal_1"/>
    <w:semiHidden/>
    <w:unhideWhenUsed/>
    <w:qFormat/>
    <w:tblPr>
      <w:tblCellMar>
        <w:top w:w="0" w:type="dxa"/>
        <w:left w:w="0" w:type="dxa"/>
        <w:bottom w:w="0" w:type="dxa"/>
        <w:right w:w="0" w:type="dxa"/>
      </w:tblCellMar>
    </w:tbl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header" Target="head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9</Pages>
  <Words>316</Words>
  <Characters>471</Characters>
  <Application>Microsoft Office Word</Application>
  <DocSecurity>0</DocSecurity>
  <Lines>0</Lines>
  <Paragraphs>0</Paragraphs>
  <ScaleCrop>false</ScaleCrop>
  <Company/>
  <LinksUpToDate>false</LinksUpToDate>
  <CharactersWithSpaces>589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2025-09-03T14:43:00Z</dcterms:created>
  <dcterms:modified xsi:type="dcterms:W3CDTF">2026-03-22T09:45:14Z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