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right="120" w:firstLine="7140" w:firstLineChars="34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表格编号：PG-07</w:t>
      </w:r>
    </w:p>
    <w:p>
      <w:pPr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                                               版    本：V1.0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  <w:r>
        <w:rPr>
          <w:rFonts w:ascii="楷体_GB2312" w:eastAsia="楷体_GB2312"/>
          <w:spacing w:val="20"/>
          <w:sz w:val="48"/>
        </w:rPr>
        <w:drawing>
          <wp:inline distT="0" distB="0" distL="0" distR="0">
            <wp:extent cx="1447800" cy="542925"/>
            <wp:effectExtent l="19050" t="0" r="0" b="0"/>
            <wp:docPr id="1" name="图片 1" descr="说明: 20120327 ITS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20120327 ITSS_LOGO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eastAsia="华文中宋" w:hAnsi="华文中宋"/>
          <w:b/>
          <w:color w:val="000000"/>
          <w:sz w:val="40"/>
          <w:szCs w:val="21"/>
        </w:rPr>
      </w:pPr>
      <w:r>
        <w:rPr>
          <w:rFonts w:ascii="华文中宋" w:eastAsia="华文中宋" w:hAnsi="华文中宋" w:hint="eastAsia"/>
          <w:b/>
          <w:color w:val="000000"/>
          <w:sz w:val="38"/>
          <w:szCs w:val="38"/>
        </w:rPr>
        <w:t>信息技术服务标准（ITSS）符合性评估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eastAsia="华文中宋" w:hAnsi="华文中宋"/>
          <w:b/>
          <w:color w:val="000000"/>
          <w:sz w:val="40"/>
          <w:szCs w:val="21"/>
        </w:rPr>
      </w:pPr>
      <w:r>
        <w:rPr>
          <w:rFonts w:ascii="华文中宋" w:eastAsia="华文中宋" w:hAnsi="华文中宋" w:hint="eastAsia"/>
          <w:b/>
          <w:color w:val="000000"/>
          <w:sz w:val="40"/>
          <w:szCs w:val="21"/>
        </w:rPr>
        <w:t>不符合项报告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eastAsia="华文中宋" w:hAnsi="华文中宋"/>
          <w:b/>
          <w:color w:val="000000"/>
          <w:sz w:val="40"/>
          <w:szCs w:val="21"/>
        </w:rPr>
      </w:pPr>
      <w:r>
        <w:rPr>
          <w:rFonts w:ascii="华文中宋" w:eastAsia="华文中宋" w:hAnsi="华文中宋" w:hint="eastAsia"/>
          <w:b/>
          <w:color w:val="000000"/>
          <w:sz w:val="40"/>
          <w:szCs w:val="21"/>
        </w:rPr>
        <w:t>（运行维护能力成熟度）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spacing w:line="240" w:lineRule="atLeast"/>
        <w:ind w:firstLine="1136" w:firstLineChars="541"/>
        <w:rPr>
          <w:rFonts w:ascii="宋体" w:eastAsia="宋体" w:hint="default"/>
          <w:color w:val="000000"/>
          <w:kern w:val="0"/>
          <w:sz w:val="28"/>
          <w:szCs w:val="28"/>
          <w:u w:val="single"/>
          <w:lang w:val="en-US" w:eastAsia="zh-CN"/>
        </w:rPr>
      </w:pPr>
      <w:bookmarkStart w:id="0" w:name="_Toc280584860"/>
      <w:bookmarkStart w:id="1" w:name="_Toc280583679"/>
      <w:r>
        <w:rPr>
          <w:rFonts w:hint="eastAsia"/>
          <w:b/>
          <w:color w:val="000000"/>
          <w:sz w:val="28"/>
          <w:szCs w:val="28"/>
        </w:rPr>
        <w:t>申　报　企  业</w:t>
      </w:r>
      <w:r>
        <w:rPr>
          <w:rFonts w:ascii="宋体" w:hint="eastAsia"/>
          <w:color w:val="000000"/>
          <w:sz w:val="28"/>
          <w:szCs w:val="28"/>
        </w:rPr>
        <w:t>：</w:t>
      </w:r>
      <w:bookmarkEnd w:id="0"/>
      <w:bookmarkEnd w:id="1"/>
    </w:p>
    <w:p>
      <w:pPr>
        <w:spacing w:line="240" w:lineRule="atLeast"/>
        <w:ind w:firstLine="1136" w:firstLineChars="541"/>
        <w:rPr>
          <w:rFonts w:ascii="宋体"/>
          <w:color w:val="000000"/>
          <w:sz w:val="28"/>
          <w:szCs w:val="28"/>
        </w:rPr>
      </w:pPr>
    </w:p>
    <w:p>
      <w:pPr>
        <w:spacing w:line="240" w:lineRule="atLeast"/>
        <w:ind w:firstLine="1136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评  估  机  构</w:t>
      </w:r>
      <w:r>
        <w:rPr>
          <w:rFonts w:ascii="宋体" w:hint="eastAsia"/>
          <w:color w:val="000000"/>
          <w:sz w:val="28"/>
          <w:szCs w:val="28"/>
        </w:rPr>
        <w:t>：</w:t>
      </w: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spacing w:line="240" w:lineRule="atLeast"/>
        <w:ind w:firstLine="1136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编  制  日  期</w:t>
      </w:r>
      <w:r>
        <w:rPr>
          <w:rFonts w:ascii="宋体" w:hint="eastAsia"/>
          <w:color w:val="000000"/>
          <w:sz w:val="28"/>
          <w:szCs w:val="28"/>
        </w:rPr>
        <w:t>：</w:t>
      </w:r>
      <w:r>
        <w:rPr>
          <w:rFonts w:ascii="宋体" w:hint="eastAsia"/>
          <w:color w:val="000000"/>
          <w:sz w:val="28"/>
          <w:szCs w:val="28"/>
          <w:u w:val="single"/>
        </w:rPr>
        <w:t>　</w:t>
      </w: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jc w:val="center"/>
        <w:rPr>
          <w:b/>
          <w:color w:val="000000"/>
          <w:kern w:val="0"/>
          <w:sz w:val="28"/>
          <w:szCs w:val="28"/>
        </w:rPr>
      </w:pPr>
      <w:r>
        <w:rPr>
          <w:rFonts w:hint="eastAsia"/>
          <w:b/>
          <w:color w:val="000000"/>
          <w:kern w:val="0"/>
          <w:sz w:val="28"/>
          <w:szCs w:val="28"/>
        </w:rPr>
        <w:t>中国电子工业标准化技术协会信息技术服务分会秘书处编制</w:t>
      </w:r>
    </w:p>
    <w:p>
      <w:pPr>
        <w:widowControl/>
        <w:jc w:val="left"/>
        <w:rPr>
          <w:rFonts w:ascii="宋体" w:hAnsi="宋体"/>
          <w:b/>
          <w:bCs/>
          <w:sz w:val="36"/>
        </w:rPr>
      </w:pPr>
      <w:r>
        <w:rPr>
          <w:rFonts w:ascii="宋体" w:hAnsi="宋体"/>
          <w:b/>
          <w:bCs/>
          <w:sz w:val="36"/>
        </w:rPr>
        <w:br w:type="page"/>
      </w:r>
    </w:p>
    <w:p>
      <w:pPr>
        <w:jc w:val="right"/>
        <w:rPr>
          <w:rFonts w:ascii="宋体" w:hAnsi="宋体"/>
        </w:rPr>
      </w:pP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 xml:space="preserve">共 </w:t>
      </w:r>
      <w:r>
        <w:rPr>
          <w:rFonts w:ascii="宋体" w:hAnsi="宋体" w:hint="eastAsia"/>
          <w:lang w:val="en-US" w:eastAsia="zh-CN"/>
        </w:rPr>
        <w:t>1</w:t>
      </w:r>
      <w:r>
        <w:rPr>
          <w:rFonts w:ascii="宋体" w:hAnsi="宋体" w:hint="eastAsia"/>
        </w:rPr>
        <w:t xml:space="preserve"> 项  第 </w:t>
      </w:r>
      <w:r>
        <w:rPr>
          <w:rFonts w:ascii="宋体" w:hAnsi="宋体" w:hint="eastAsia"/>
          <w:lang w:val="en-US" w:eastAsia="zh-CN"/>
        </w:rPr>
        <w:t>1</w:t>
      </w:r>
      <w:r>
        <w:rPr>
          <w:rFonts w:ascii="宋体" w:hAnsi="宋体" w:hint="eastAsia"/>
        </w:rPr>
        <w:t>项</w:t>
      </w:r>
    </w:p>
    <w:tbl>
      <w:tblPr>
        <w:tblStyle w:val="TableNormal"/>
        <w:tblW w:w="100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426"/>
        <w:gridCol w:w="1734"/>
        <w:gridCol w:w="720"/>
        <w:gridCol w:w="1260"/>
        <w:gridCol w:w="900"/>
        <w:gridCol w:w="360"/>
        <w:gridCol w:w="180"/>
        <w:gridCol w:w="977"/>
        <w:gridCol w:w="1005"/>
        <w:gridCol w:w="1873"/>
      </w:tblGrid>
      <w:tr>
        <w:tblPrEx>
          <w:tblW w:w="10083" w:type="dxa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restart"/>
          </w:tcPr>
          <w:p>
            <w:pPr>
              <w:spacing w:before="60" w:after="60"/>
              <w:rPr>
                <w:rFonts w:ascii="宋体" w:eastAsia="宋体" w:hAnsi="宋体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b/>
              </w:rPr>
              <w:t>被评估方名称：</w:t>
            </w:r>
          </w:p>
        </w:tc>
        <w:tc>
          <w:tcPr>
            <w:tcW w:w="1517" w:type="dxa"/>
            <w:gridSpan w:val="3"/>
          </w:tcPr>
          <w:p>
            <w:pPr>
              <w:spacing w:before="60" w:after="60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发现问题日期</w:t>
            </w:r>
          </w:p>
        </w:tc>
        <w:tc>
          <w:tcPr>
            <w:tcW w:w="2878" w:type="dxa"/>
            <w:gridSpan w:val="2"/>
          </w:tcPr>
          <w:p>
            <w:pPr>
              <w:spacing w:before="60" w:after="60"/>
              <w:rPr>
                <w:rFonts w:ascii="宋体" w:eastAsia="宋体" w:hAnsi="宋体" w:hint="eastAsia"/>
                <w:lang w:eastAsia="zh-CN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/>
          </w:tcPr>
          <w:p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1517" w:type="dxa"/>
            <w:gridSpan w:val="3"/>
          </w:tcPr>
          <w:p>
            <w:pPr>
              <w:spacing w:before="60" w:after="6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/>
              </w:rPr>
              <w:t>不符合项对应的标准条款</w:t>
            </w:r>
          </w:p>
        </w:tc>
        <w:tc>
          <w:tcPr>
            <w:tcW w:w="2878" w:type="dxa"/>
            <w:gridSpan w:val="2"/>
          </w:tcPr>
          <w:p>
            <w:pPr>
              <w:widowControl/>
              <w:rPr>
                <w:rFonts w:asciiTheme="minorEastAsia" w:eastAsiaTheme="minorEastAsia" w:hAnsiTheme="minorEastAsia" w:cs="宋体"/>
                <w:kern w:val="0"/>
                <w:sz w:val="18"/>
                <w:szCs w:val="18"/>
                <w:u w:color="000000"/>
                <w:lang w:val="zh-TW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3" w:type="dxa"/>
            <w:gridSpan w:val="11"/>
            <w:tcBorders>
              <w:bottom w:val="nil"/>
            </w:tcBorders>
          </w:tcPr>
          <w:p>
            <w:pPr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不符合项描述</w:t>
            </w:r>
          </w:p>
          <w:p>
            <w:pPr>
              <w:pStyle w:val="A2"/>
              <w:spacing w:line="240" w:lineRule="exact"/>
              <w:jc w:val="left"/>
              <w:rPr>
                <w:rFonts w:ascii="宋体" w:eastAsia="宋体" w:hAnsi="宋体" w:hint="eastAsia"/>
                <w:lang w:val="en-US" w:eastAsia="zh-CN"/>
              </w:rPr>
            </w:pPr>
            <w:r>
              <w:rPr>
                <w:rFonts w:ascii="宋体" w:eastAsia="宋体" w:hAnsi="宋体" w:hint="eastAsia"/>
                <w:lang w:val="en-US" w:eastAsia="zh-CN"/>
              </w:rPr>
              <w:t>抽查“公安视频监控运维服务项目”2026年3月的服务报告，未见相应的服务报告计划。</w:t>
            </w:r>
          </w:p>
          <w:p>
            <w:pPr>
              <w:pStyle w:val="A2"/>
              <w:spacing w:line="240" w:lineRule="exact"/>
              <w:jc w:val="left"/>
              <w:rPr>
                <w:rFonts w:ascii="宋体" w:eastAsia="宋体" w:hAnsi="宋体" w:hint="eastAsia"/>
                <w:lang w:val="en-US" w:eastAsia="zh-CN"/>
              </w:rPr>
            </w:pPr>
            <w:r>
              <w:rPr>
                <w:rFonts w:ascii="宋体" w:eastAsia="宋体" w:hAnsi="宋体" w:hint="eastAsia"/>
                <w:lang w:val="en-US" w:eastAsia="zh-CN"/>
              </w:rPr>
              <w:t>不符合 T/CESA 1299-2023 第 7.4.3 条 c）款：“制定服务报告计划，按报告计划约定编制和提供服务报告。”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28" w:type="dxa"/>
            <w:gridSpan w:val="4"/>
            <w:tcBorders>
              <w:top w:val="nil"/>
              <w:bottom w:val="single" w:sz="6" w:space="0" w:color="auto"/>
              <w:right w:val="nil"/>
            </w:tcBorders>
          </w:tcPr>
          <w:p>
            <w:pPr>
              <w:spacing w:before="120" w:after="120"/>
              <w:rPr>
                <w:rFonts w:ascii="宋体" w:hAnsi="宋体"/>
                <w:spacing w:val="-12"/>
                <w:sz w:val="18"/>
              </w:rPr>
            </w:pPr>
            <w:r>
              <w:rPr>
                <w:rFonts w:ascii="宋体" w:hAnsi="宋体" w:hint="eastAsia"/>
                <w:spacing w:val="-12"/>
                <w:sz w:val="18"/>
              </w:rPr>
              <w:t>评估师：</w:t>
            </w:r>
          </w:p>
        </w:tc>
        <w:tc>
          <w:tcPr>
            <w:tcW w:w="25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spacing w:before="120" w:after="120"/>
              <w:jc w:val="left"/>
              <w:rPr>
                <w:rFonts w:ascii="宋体" w:eastAsia="Arial Unicode MS" w:hAnsi="宋体" w:cs="Arial Unicode MS"/>
                <w:color w:val="000000"/>
                <w:szCs w:val="21"/>
                <w:u w:color="000000"/>
              </w:rPr>
            </w:pPr>
          </w:p>
        </w:tc>
        <w:tc>
          <w:tcPr>
            <w:tcW w:w="4035" w:type="dxa"/>
            <w:gridSpan w:val="4"/>
            <w:tcBorders>
              <w:top w:val="nil"/>
              <w:left w:val="nil"/>
              <w:bottom w:val="single" w:sz="6" w:space="0" w:color="auto"/>
            </w:tcBorders>
          </w:tcPr>
          <w:p>
            <w:pPr>
              <w:spacing w:before="120" w:after="120"/>
              <w:ind w:left="52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pacing w:val="-12"/>
                <w:sz w:val="18"/>
              </w:rPr>
              <w:t>被评估方管理者(代表)确认：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/>
          <w:jc w:val="center"/>
        </w:trPr>
        <w:tc>
          <w:tcPr>
            <w:tcW w:w="1074" w:type="dxa"/>
            <w:gridSpan w:val="2"/>
            <w:tcBorders>
              <w:top w:val="nil"/>
            </w:tcBorders>
            <w:vAlign w:val="center"/>
          </w:tcPr>
          <w:p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不 符 合</w:t>
            </w:r>
          </w:p>
        </w:tc>
        <w:tc>
          <w:tcPr>
            <w:tcW w:w="9009" w:type="dxa"/>
            <w:gridSpan w:val="9"/>
            <w:tcBorders>
              <w:top w:val="nil"/>
            </w:tcBorders>
          </w:tcPr>
          <w:p>
            <w:pPr>
              <w:widowControl/>
              <w:spacing w:line="240" w:lineRule="exact"/>
              <w:ind w:left="270" w:hanging="315" w:hangingChars="150"/>
              <w:jc w:val="left"/>
              <w:rPr>
                <w:rFonts w:eastAsia="宋体" w:asciiTheme="minorEastAsia" w:hAnsiTheme="minorEastAsia" w:cs="宋体" w:hint="default"/>
                <w:kern w:val="0"/>
                <w:sz w:val="18"/>
                <w:szCs w:val="18"/>
                <w:u w:color="000000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u w:val="single"/>
              </w:rPr>
              <w:t>《信息技术服务 运行维护服务能力成熟度模型》条</w:t>
            </w:r>
            <w:r>
              <w:rPr>
                <w:rFonts w:ascii="宋体" w:hAnsi="宋体" w:hint="eastAsia"/>
                <w:sz w:val="18"/>
              </w:rPr>
              <w:t>款号：</w:t>
            </w:r>
            <w:r>
              <w:rPr>
                <w:rFonts w:ascii="宋体" w:hAnsi="宋体" w:hint="eastAsia"/>
                <w:sz w:val="18"/>
                <w:lang w:val="en-US" w:eastAsia="zh-CN"/>
              </w:rPr>
              <w:t>7.4.3</w:t>
            </w:r>
          </w:p>
          <w:p>
            <w:pPr>
              <w:pStyle w:val="Default"/>
              <w:rPr>
                <w:rFonts w:ascii="宋体" w:eastAsia="宋体" w:hAnsi="宋体" w:cs="宋体" w:hint="eastAsia"/>
                <w:color w:val="auto"/>
                <w:sz w:val="18"/>
                <w:szCs w:val="18"/>
                <w:lang w:eastAsia="zh-CN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/>
          <w:jc w:val="center"/>
        </w:trPr>
        <w:tc>
          <w:tcPr>
            <w:tcW w:w="1074" w:type="dxa"/>
            <w:gridSpan w:val="2"/>
          </w:tcPr>
          <w:p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严重程度</w:t>
            </w:r>
          </w:p>
        </w:tc>
        <w:tc>
          <w:tcPr>
            <w:tcW w:w="1734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严重  </w:t>
            </w:r>
            <w:r>
              <w:rPr>
                <w:rFonts w:ascii="Wingdings" w:hAnsi="Wingdings"/>
              </w:rPr>
              <w:sym w:font="Wingdings" w:char="F0FE"/>
            </w:r>
            <w:r>
              <w:rPr>
                <w:rFonts w:ascii="宋体" w:hAnsi="宋体" w:hint="eastAsia"/>
                <w:sz w:val="18"/>
              </w:rPr>
              <w:t xml:space="preserve"> 一般</w:t>
            </w:r>
          </w:p>
        </w:tc>
        <w:tc>
          <w:tcPr>
            <w:tcW w:w="5402" w:type="dxa"/>
            <w:gridSpan w:val="7"/>
            <w:vAlign w:val="center"/>
          </w:tcPr>
          <w:p>
            <w:pPr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ascii="宋体" w:hAnsi="宋体" w:hint="eastAsia"/>
                <w:b/>
                <w:sz w:val="18"/>
              </w:rPr>
              <w:t xml:space="preserve">经被评估方验证的纠正措施资料/ </w:t>
            </w: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ascii="宋体" w:hAnsi="宋体" w:hint="eastAsia"/>
                <w:b/>
                <w:sz w:val="18"/>
              </w:rPr>
              <w:t>纠正措施计划提交日期</w:t>
            </w:r>
          </w:p>
        </w:tc>
        <w:tc>
          <w:tcPr>
            <w:tcW w:w="1873" w:type="dxa"/>
            <w:vAlign w:val="center"/>
          </w:tcPr>
          <w:p>
            <w:pPr>
              <w:jc w:val="right"/>
              <w:rPr>
                <w:rFonts w:ascii="宋体" w:hAnsi="宋体"/>
                <w:sz w:val="18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3" w:type="dxa"/>
            <w:gridSpan w:val="11"/>
          </w:tcPr>
          <w:p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对不符合的处置：</w:t>
            </w:r>
          </w:p>
          <w:p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lang w:val="en-US" w:eastAsia="zh-CN"/>
              </w:rPr>
              <w:t>1.</w:t>
            </w:r>
            <w:r>
              <w:rPr>
                <w:rFonts w:ascii="宋体" w:hAnsi="宋体" w:hint="eastAsia"/>
              </w:rPr>
              <w:t>针对“公安视频监控运维服务项目”2026年3月的服务报告，补充编制《服务报告计划》，明确报告内容、频次、交付对象及审核要求。</w:t>
            </w:r>
          </w:p>
          <w:p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lang w:val="en-US" w:eastAsia="zh-CN"/>
              </w:rPr>
              <w:t>2.</w:t>
            </w:r>
            <w:r>
              <w:rPr>
                <w:rFonts w:ascii="宋体" w:hAnsi="宋体" w:hint="eastAsia"/>
              </w:rPr>
              <w:t>组织</w:t>
            </w:r>
            <w:r>
              <w:rPr>
                <w:rFonts w:ascii="宋体" w:hAnsi="宋体" w:hint="eastAsia"/>
                <w:lang w:val="en-US" w:eastAsia="zh-CN"/>
              </w:rPr>
              <w:t>运维部人员</w:t>
            </w:r>
            <w:r>
              <w:rPr>
                <w:rFonts w:ascii="宋体" w:hAnsi="宋体" w:hint="eastAsia"/>
              </w:rPr>
              <w:t>对《服务报告管理过程》进行专项培训，确保所有运维项目均先有服务报告计划，再编制服务报告。</w:t>
            </w:r>
          </w:p>
          <w:p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lang w:val="en-US" w:eastAsia="zh-CN"/>
              </w:rPr>
              <w:t>3.</w:t>
            </w:r>
            <w:r>
              <w:rPr>
                <w:rFonts w:ascii="宋体" w:hAnsi="宋体" w:hint="eastAsia"/>
              </w:rPr>
              <w:t>由质量管理部在2026年4月底前，完成对所有在建运维项目（包括应急广播、智慧安防等）服务报告计划的专项排查与整改。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3" w:type="dxa"/>
            <w:gridSpan w:val="11"/>
          </w:tcPr>
          <w:p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不符合原因分析：</w:t>
            </w:r>
          </w:p>
          <w:p>
            <w:pPr>
              <w:rPr>
                <w:rFonts w:ascii="宋体" w:hAnsi="宋体" w:hint="eastAsia"/>
                <w:lang w:val="en-US" w:eastAsia="zh-CN"/>
              </w:rPr>
            </w:pPr>
            <w:r>
              <w:rPr>
                <w:rFonts w:ascii="宋体" w:hAnsi="宋体" w:hint="eastAsia"/>
                <w:lang w:val="en-US" w:eastAsia="zh-CN"/>
              </w:rPr>
              <w:t>1.项目运维人员对 T/CESA 1299-2023 7.4.3 条款理解不充分，认为“有服务报告即可，不需要单独制定服务报告计划”。</w:t>
            </w:r>
          </w:p>
          <w:p>
            <w:pPr>
              <w:rPr>
                <w:rFonts w:ascii="宋体" w:hAnsi="宋体" w:hint="eastAsia"/>
                <w:lang w:val="en-US" w:eastAsia="zh-CN"/>
              </w:rPr>
            </w:pPr>
            <w:r>
              <w:rPr>
                <w:rFonts w:ascii="宋体" w:hAnsi="宋体" w:hint="eastAsia"/>
                <w:lang w:val="en-US" w:eastAsia="zh-CN"/>
              </w:rPr>
              <w:t>2.质量管理部在项目过程监督中，未将“服务报告计划”作为独立检查点，存在审核盲区。</w:t>
            </w:r>
          </w:p>
          <w:p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lang w:val="en-US" w:eastAsia="zh-CN"/>
              </w:rPr>
              <w:t>3.公司现有《服务报告管理流程》中对“服务报告计划”的编制要求和模板不够明确，可操作性不足。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9"/>
          <w:jc w:val="center"/>
        </w:trPr>
        <w:tc>
          <w:tcPr>
            <w:tcW w:w="10083" w:type="dxa"/>
            <w:gridSpan w:val="11"/>
          </w:tcPr>
          <w:p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针对原因采取的防止再发生的措施（请列出新的或修订后的流程、或增加的检测控制、或增加的资源等）：</w:t>
            </w:r>
          </w:p>
          <w:p>
            <w:pPr>
              <w:rPr>
                <w:rFonts w:ascii="宋体" w:hAnsi="宋体" w:hint="eastAsia"/>
                <w:lang w:val="en-US" w:eastAsia="zh-CN"/>
              </w:rPr>
            </w:pPr>
            <w:r>
              <w:rPr>
                <w:rFonts w:ascii="宋体" w:hAnsi="宋体" w:hint="eastAsia"/>
                <w:lang w:val="en-US" w:eastAsia="zh-CN"/>
              </w:rPr>
              <w:t>修订《服务报告管理流程》，明确要求：每个运维项目必须按月/按合同约定编制《服务报告计划》，并经审核后方可开展服务报告编制。</w:t>
            </w:r>
          </w:p>
          <w:p>
            <w:pPr>
              <w:rPr>
                <w:rFonts w:ascii="宋体" w:hAnsi="宋体" w:hint="eastAsia"/>
                <w:lang w:val="en-US" w:eastAsia="zh-CN"/>
              </w:rPr>
            </w:pPr>
            <w:r>
              <w:rPr>
                <w:rFonts w:ascii="宋体" w:hAnsi="宋体" w:hint="eastAsia"/>
                <w:lang w:val="en-US" w:eastAsia="zh-CN"/>
              </w:rPr>
              <w:t>质量管理部将“服务报告计划”纳入项目过程审核必查项，每季度通报执行情况。</w:t>
            </w:r>
          </w:p>
          <w:p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lang w:val="en-US" w:eastAsia="zh-CN"/>
              </w:rPr>
              <w:t>人力资源部在2026年第二季度组织一次面向全体运维人员的ITSS过程管理专项培训，重点覆盖服务报告、事件、发布等关键过程（参考《2026年度</w:t>
            </w:r>
            <w:bookmarkStart w:id="2" w:name="_GoBack"/>
            <w:bookmarkEnd w:id="2"/>
            <w:r>
              <w:rPr>
                <w:rFonts w:ascii="宋体" w:hAnsi="宋体" w:hint="eastAsia"/>
                <w:lang w:val="en-US" w:eastAsia="zh-CN"/>
              </w:rPr>
              <w:t>人员管理计划》中已规划的培训安排）</w:t>
            </w: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spacing w:before="240" w:after="60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 xml:space="preserve">被评估方验证人员： </w:t>
            </w:r>
            <w:r>
              <w:rPr>
                <w:rFonts w:ascii="宋体" w:hAnsi="宋体"/>
                <w:b/>
                <w:sz w:val="18"/>
              </w:rPr>
              <w:t xml:space="preserve">                                 </w:t>
            </w:r>
            <w:r>
              <w:rPr>
                <w:rFonts w:ascii="宋体" w:hAnsi="宋体" w:hint="eastAsia"/>
                <w:b/>
                <w:sz w:val="18"/>
              </w:rPr>
              <w:t>被评估方管理者(代表)确认：</w:t>
            </w:r>
            <w:r>
              <w:rPr>
                <w:rFonts w:ascii="宋体" w:hAnsi="宋体" w:hint="eastAsia"/>
                <w:sz w:val="18"/>
              </w:rPr>
              <w:t xml:space="preserve">           </w:t>
            </w:r>
            <w:r>
              <w:rPr>
                <w:rFonts w:ascii="宋体" w:hAnsi="宋体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年</w:t>
            </w:r>
            <w:r>
              <w:rPr>
                <w:rFonts w:ascii="宋体" w:hAnsi="宋体" w:hint="eastAsia"/>
                <w:sz w:val="18"/>
                <w:lang w:val="en-US" w:eastAsia="zh-CN"/>
              </w:rPr>
              <w:t xml:space="preserve">   </w:t>
            </w:r>
            <w:r>
              <w:rPr>
                <w:rFonts w:ascii="宋体" w:hAnsi="宋体" w:hint="eastAsia"/>
                <w:sz w:val="18"/>
              </w:rPr>
              <w:t>月  日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/>
          <w:jc w:val="center"/>
        </w:trPr>
        <w:tc>
          <w:tcPr>
            <w:tcW w:w="648" w:type="dxa"/>
            <w:vMerge w:val="restart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跟踪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</w:rPr>
              <w:t>验证</w:t>
            </w:r>
          </w:p>
        </w:tc>
        <w:tc>
          <w:tcPr>
            <w:tcW w:w="4140" w:type="dxa"/>
            <w:gridSpan w:val="4"/>
            <w:vAlign w:val="center"/>
          </w:tcPr>
          <w:p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 xml:space="preserve">不符合处置是否有效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restart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验证方式：</w:t>
            </w:r>
          </w:p>
          <w:p>
            <w:pPr>
              <w:spacing w:before="120" w:after="60"/>
              <w:rPr>
                <w:rFonts w:ascii="宋体" w:hAnsi="宋体"/>
                <w:sz w:val="18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文件验证</w:t>
            </w:r>
          </w:p>
          <w:p>
            <w:pPr>
              <w:spacing w:before="60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现场验证</w:t>
            </w:r>
          </w:p>
        </w:tc>
        <w:tc>
          <w:tcPr>
            <w:tcW w:w="3855" w:type="dxa"/>
            <w:gridSpan w:val="3"/>
            <w:vMerge w:val="restart"/>
          </w:tcPr>
          <w:p>
            <w:pPr>
              <w:spacing w:before="12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验证人员(签名)</w:t>
            </w: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ind w:firstLine="837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     年    月    日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/>
          <w:jc w:val="center"/>
        </w:trPr>
        <w:tc>
          <w:tcPr>
            <w:tcW w:w="648" w:type="dxa"/>
            <w:vMerge/>
          </w:tcPr>
          <w:p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 xml:space="preserve">原因分析是否准确  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 xml:space="preserve">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/>
          </w:tcPr>
          <w:p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/>
          </w:tcPr>
          <w:p>
            <w:pPr>
              <w:rPr>
                <w:rFonts w:ascii="宋体" w:hAnsi="宋体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/>
          <w:jc w:val="center"/>
        </w:trPr>
        <w:tc>
          <w:tcPr>
            <w:tcW w:w="648" w:type="dxa"/>
            <w:vMerge/>
          </w:tcPr>
          <w:p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 xml:space="preserve">防止再发生的措施是否有效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/>
          </w:tcPr>
          <w:p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/>
          </w:tcPr>
          <w:p>
            <w:pPr>
              <w:rPr>
                <w:rFonts w:ascii="宋体" w:hAnsi="宋体"/>
              </w:rPr>
            </w:pPr>
          </w:p>
        </w:tc>
      </w:tr>
    </w:tbl>
    <w:p>
      <w:pPr>
        <w:ind w:left="527" w:hanging="527"/>
        <w:rPr>
          <w:rFonts w:ascii="宋体" w:hAnsi="宋体"/>
          <w:sz w:val="18"/>
        </w:rPr>
      </w:pPr>
      <w:r>
        <w:rPr>
          <w:rFonts w:ascii="宋体" w:hAnsi="宋体" w:hint="eastAsia"/>
          <w:sz w:val="18"/>
        </w:rPr>
        <w:t>注：</w:t>
      </w:r>
      <w:r>
        <w:rPr>
          <w:rFonts w:ascii="宋体" w:hAnsi="宋体" w:hint="eastAsia"/>
          <w:sz w:val="18"/>
          <w:szCs w:val="18"/>
        </w:rPr>
        <w:t xml:space="preserve">① </w:t>
      </w:r>
      <w:r>
        <w:rPr>
          <w:rFonts w:ascii="宋体" w:hAnsi="宋体" w:hint="eastAsia"/>
          <w:sz w:val="18"/>
        </w:rPr>
        <w:t>提交纠正措施时,须在本报告后附上一一对应的证明材料，否则须重新提交；</w:t>
      </w:r>
    </w:p>
    <w:p>
      <w:pPr>
        <w:ind w:left="350" w:firstLine="15" w:firstLineChars="7"/>
        <w:rPr>
          <w:rFonts w:ascii="宋体" w:hAnsi="宋体"/>
          <w:sz w:val="18"/>
        </w:rPr>
      </w:pPr>
      <w:r>
        <w:rPr>
          <w:rFonts w:ascii="宋体" w:hAnsi="宋体" w:hint="eastAsia"/>
          <w:sz w:val="18"/>
        </w:rPr>
        <w:t>② 如果没有针对本报告及时采取有效的纠正措施，可能会导致延迟注册或注册资格的暂停/撤销；</w:t>
      </w:r>
    </w:p>
    <w:p>
      <w:pPr>
        <w:ind w:left="350" w:firstLine="15" w:firstLineChars="7"/>
        <w:rPr>
          <w:rFonts w:ascii="宋体" w:hAnsi="宋体"/>
          <w:sz w:val="18"/>
        </w:rPr>
      </w:pPr>
      <w:r>
        <w:rPr>
          <w:rFonts w:ascii="宋体" w:hAnsi="宋体" w:hint="eastAsia"/>
          <w:sz w:val="18"/>
        </w:rPr>
        <w:t>③ 属提交纠正措施计划时，本机构将另行确定纠正措施实施效果验证方式。</w:t>
      </w:r>
    </w:p>
    <w:p>
      <w:pPr>
        <w:ind w:left="350" w:firstLine="15" w:firstLineChars="7"/>
        <w:rPr>
          <w:rFonts w:ascii="宋体" w:hAnsi="宋体"/>
          <w:sz w:val="18"/>
        </w:rPr>
      </w:pPr>
    </w:p>
    <w:p>
      <w:pPr>
        <w:ind w:left="350" w:firstLine="15" w:firstLineChars="7"/>
        <w:rPr>
          <w:rFonts w:ascii="宋体" w:hAnsi="宋体"/>
          <w:sz w:val="18"/>
        </w:rPr>
      </w:pPr>
    </w:p>
    <w:p>
      <w:pPr>
        <w:widowControl/>
        <w:jc w:val="left"/>
        <w:rPr>
          <w:rFonts w:ascii="宋体" w:hAnsi="宋体"/>
          <w:sz w:val="18"/>
        </w:rPr>
      </w:pPr>
    </w:p>
    <w:sectPr>
      <w:pgSz w:w="11906" w:h="16838"/>
      <w:pgMar w:top="851" w:right="849" w:bottom="709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7FFAEFF" w:usb1="F9DFFFFF" w:usb2="0000007F" w:usb3="00000000" w:csb0="203F01FF" w:csb1="DFFF0000"/>
  </w:font>
  <w:font w:name="创艺简黑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PSEMBED1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52C0026"/>
    <w:multiLevelType w:val="multilevel"/>
    <w:tmpl w:val="152C002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C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C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C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5ODM0YmMxOWJiYWQyNDU4MGIzYWRmYTA0ZmI5NDcifQ=="/>
    <w:docVar w:name="KSO_WPS_MARK_KEY" w:val="3ef17c3d-667f-46a3-9125-053365b717e7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 w:semiHidden="0" w:uiPriority="0" w:unhideWhenUsed="0" w:qFormat="1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lang w:val="en-US" w:eastAsia="zh-CN" w:bidi="ar-SA"/>
    </w:rPr>
  </w:style>
  <w:style w:type="paragraph" w:styleId="Heading1">
    <w:name w:val="heading 1"/>
    <w:basedOn w:val="Normal"/>
    <w:next w:val="Normal"/>
    <w:link w:val="1"/>
    <w:autoRedefine/>
    <w:qFormat/>
    <w:pPr>
      <w:numPr>
        <w:ilvl w:val="0"/>
        <w:numId w:val="1"/>
      </w:numPr>
      <w:spacing w:beforeLines="50" w:afterLines="50"/>
      <w:outlineLvl w:val="0"/>
    </w:pPr>
    <w:rPr>
      <w:rFonts w:eastAsia="黑体"/>
      <w:bCs/>
      <w:kern w:val="44"/>
      <w:sz w:val="20"/>
      <w:szCs w:val="36"/>
      <w:lang w:val="zh-CN"/>
    </w:rPr>
  </w:style>
  <w:style w:type="paragraph" w:styleId="Heading2">
    <w:name w:val="heading 2"/>
    <w:basedOn w:val="Normal"/>
    <w:next w:val="Normal"/>
    <w:link w:val="2"/>
    <w:qFormat/>
    <w:pPr>
      <w:numPr>
        <w:ilvl w:val="1"/>
        <w:numId w:val="1"/>
      </w:numPr>
      <w:jc w:val="left"/>
      <w:outlineLvl w:val="1"/>
    </w:pPr>
    <w:rPr>
      <w:rFonts w:eastAsia="黑体"/>
      <w:bCs/>
      <w:kern w:val="0"/>
      <w:sz w:val="20"/>
      <w:szCs w:val="32"/>
      <w:lang w:val="zh-CN"/>
    </w:rPr>
  </w:style>
  <w:style w:type="paragraph" w:styleId="Heading3">
    <w:name w:val="heading 3"/>
    <w:basedOn w:val="Normal"/>
    <w:next w:val="Normal"/>
    <w:link w:val="3"/>
    <w:autoRedefine/>
    <w:uiPriority w:val="9"/>
    <w:qFormat/>
    <w:pPr>
      <w:keepNext/>
      <w:keepLines/>
      <w:numPr>
        <w:ilvl w:val="2"/>
        <w:numId w:val="1"/>
      </w:numPr>
      <w:outlineLvl w:val="2"/>
    </w:pPr>
    <w:rPr>
      <w:rFonts w:ascii="Arial" w:eastAsia="黑体" w:hAnsi="Arial"/>
      <w:bCs/>
      <w:kern w:val="0"/>
      <w:sz w:val="20"/>
      <w:szCs w:val="32"/>
      <w:lang w:val="zh-CN"/>
    </w:rPr>
  </w:style>
  <w:style w:type="paragraph" w:styleId="Heading4">
    <w:name w:val="heading 4"/>
    <w:basedOn w:val="Normal"/>
    <w:next w:val="Normal"/>
    <w:link w:val="4"/>
    <w:autoRedefine/>
    <w:qFormat/>
    <w:pPr>
      <w:keepNext/>
      <w:keepLines/>
      <w:numPr>
        <w:ilvl w:val="3"/>
        <w:numId w:val="1"/>
      </w:numPr>
      <w:outlineLvl w:val="3"/>
    </w:pPr>
    <w:rPr>
      <w:rFonts w:ascii="宋体" w:eastAsia="黑体" w:hAnsi="宋体"/>
      <w:bCs/>
      <w:kern w:val="0"/>
      <w:sz w:val="20"/>
      <w:szCs w:val="28"/>
      <w:lang w:val="zh-CN"/>
    </w:rPr>
  </w:style>
  <w:style w:type="paragraph" w:styleId="Heading5">
    <w:name w:val="heading 5"/>
    <w:basedOn w:val="Normal"/>
    <w:next w:val="Normal"/>
    <w:link w:val="5"/>
    <w:autoRedefine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Arial" w:hAnsi="Arial"/>
      <w:b/>
      <w:bCs/>
      <w:kern w:val="0"/>
      <w:sz w:val="28"/>
      <w:szCs w:val="28"/>
      <w:lang w:val="zh-CN"/>
    </w:rPr>
  </w:style>
  <w:style w:type="paragraph" w:styleId="Heading6">
    <w:name w:val="heading 6"/>
    <w:basedOn w:val="Normal"/>
    <w:next w:val="Normal"/>
    <w:link w:val="6"/>
    <w:autoRedefine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kern w:val="0"/>
      <w:sz w:val="24"/>
      <w:szCs w:val="21"/>
      <w:lang w:val="zh-CN"/>
    </w:rPr>
  </w:style>
  <w:style w:type="paragraph" w:styleId="Heading7">
    <w:name w:val="heading 7"/>
    <w:basedOn w:val="Normal"/>
    <w:next w:val="Normal"/>
    <w:link w:val="7"/>
    <w:autoRedefine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  <w:bCs/>
      <w:kern w:val="0"/>
      <w:sz w:val="24"/>
      <w:szCs w:val="21"/>
      <w:lang w:val="zh-CN"/>
    </w:rPr>
  </w:style>
  <w:style w:type="paragraph" w:styleId="Heading8">
    <w:name w:val="heading 8"/>
    <w:basedOn w:val="Normal"/>
    <w:next w:val="Normal"/>
    <w:link w:val="8"/>
    <w:autoRedefine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kern w:val="0"/>
      <w:sz w:val="24"/>
      <w:szCs w:val="21"/>
      <w:lang w:val="zh-CN"/>
    </w:rPr>
  </w:style>
  <w:style w:type="paragraph" w:styleId="Heading9">
    <w:name w:val="heading 9"/>
    <w:basedOn w:val="Normal"/>
    <w:next w:val="Normal"/>
    <w:link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kern w:val="0"/>
      <w:sz w:val="20"/>
      <w:szCs w:val="21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link w:val="30"/>
    <w:autoRedefine/>
    <w:qFormat/>
    <w:pPr>
      <w:spacing w:after="120"/>
      <w:ind w:firstLine="420"/>
    </w:pPr>
    <w:rPr>
      <w:rFonts w:ascii="Arial" w:hAnsi="Arial"/>
      <w:kern w:val="0"/>
      <w:sz w:val="16"/>
      <w:szCs w:val="16"/>
    </w:rPr>
  </w:style>
  <w:style w:type="paragraph" w:styleId="BalloonText">
    <w:name w:val="Balloon Text"/>
    <w:basedOn w:val="Normal"/>
    <w:link w:val="a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character" w:customStyle="1" w:styleId="a">
    <w:name w:val="页眉 字符"/>
    <w:basedOn w:val="DefaultParagraphFont"/>
    <w:link w:val="Header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4"/>
      <w:lang w:val="en-US" w:eastAsia="zh-CN" w:bidi="ar-SA"/>
    </w:rPr>
  </w:style>
  <w:style w:type="paragraph" w:customStyle="1" w:styleId="A2">
    <w:name w:val="正文 A"/>
    <w:autoRedefine/>
    <w:qFormat/>
    <w:pPr>
      <w:widowControl w:val="0"/>
      <w:jc w:val="both"/>
    </w:pPr>
    <w:rPr>
      <w:rFonts w:ascii="Times New Roman" w:eastAsia="Arial Unicode MS" w:hAnsi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1">
    <w:name w:val="标题 1 字符"/>
    <w:basedOn w:val="DefaultParagraphFont"/>
    <w:link w:val="Heading1"/>
    <w:autoRedefine/>
    <w:qFormat/>
    <w:rPr>
      <w:rFonts w:ascii="Times New Roman" w:eastAsia="黑体" w:hAnsi="Times New Roman" w:cs="Times New Roman"/>
      <w:bCs/>
      <w:kern w:val="44"/>
      <w:sz w:val="20"/>
      <w:szCs w:val="36"/>
      <w:lang w:val="zh-CN" w:eastAsia="zh-CN"/>
    </w:rPr>
  </w:style>
  <w:style w:type="character" w:customStyle="1" w:styleId="2">
    <w:name w:val="标题 2 字符"/>
    <w:basedOn w:val="DefaultParagraphFont"/>
    <w:link w:val="Heading2"/>
    <w:autoRedefine/>
    <w:qFormat/>
    <w:rPr>
      <w:rFonts w:ascii="Times New Roman" w:eastAsia="黑体" w:hAnsi="Times New Roman" w:cs="Times New Roman"/>
      <w:bCs/>
      <w:kern w:val="0"/>
      <w:sz w:val="20"/>
      <w:szCs w:val="32"/>
      <w:lang w:val="zh-CN" w:eastAsia="zh-CN"/>
    </w:rPr>
  </w:style>
  <w:style w:type="character" w:customStyle="1" w:styleId="3">
    <w:name w:val="标题 3 字符"/>
    <w:basedOn w:val="DefaultParagraphFont"/>
    <w:link w:val="Heading3"/>
    <w:uiPriority w:val="9"/>
    <w:qFormat/>
    <w:rPr>
      <w:rFonts w:ascii="Arial" w:eastAsia="黑体" w:hAnsi="Arial" w:cs="Times New Roman"/>
      <w:bCs/>
      <w:kern w:val="0"/>
      <w:sz w:val="20"/>
      <w:szCs w:val="32"/>
      <w:lang w:val="zh-CN" w:eastAsia="zh-CN"/>
    </w:rPr>
  </w:style>
  <w:style w:type="character" w:customStyle="1" w:styleId="4">
    <w:name w:val="标题 4 字符"/>
    <w:basedOn w:val="DefaultParagraphFont"/>
    <w:link w:val="Heading4"/>
    <w:autoRedefine/>
    <w:qFormat/>
    <w:rPr>
      <w:rFonts w:ascii="宋体" w:eastAsia="黑体" w:hAnsi="宋体" w:cs="Times New Roman"/>
      <w:bCs/>
      <w:kern w:val="0"/>
      <w:sz w:val="20"/>
      <w:szCs w:val="28"/>
      <w:lang w:val="zh-CN" w:eastAsia="zh-CN"/>
    </w:rPr>
  </w:style>
  <w:style w:type="character" w:customStyle="1" w:styleId="5">
    <w:name w:val="标题 5 字符"/>
    <w:basedOn w:val="DefaultParagraphFont"/>
    <w:link w:val="Heading5"/>
    <w:autoRedefine/>
    <w:qFormat/>
    <w:rPr>
      <w:rFonts w:ascii="Arial" w:eastAsia="宋体" w:hAnsi="Arial" w:cs="Times New Roman"/>
      <w:b/>
      <w:bCs/>
      <w:kern w:val="0"/>
      <w:sz w:val="28"/>
      <w:szCs w:val="28"/>
      <w:lang w:val="zh-CN" w:eastAsia="zh-CN"/>
    </w:rPr>
  </w:style>
  <w:style w:type="character" w:customStyle="1" w:styleId="6">
    <w:name w:val="标题 6 字符"/>
    <w:basedOn w:val="DefaultParagraphFont"/>
    <w:link w:val="Heading6"/>
    <w:qFormat/>
    <w:rPr>
      <w:rFonts w:ascii="Arial" w:eastAsia="黑体" w:hAnsi="Arial" w:cs="Times New Roman"/>
      <w:b/>
      <w:bCs/>
      <w:kern w:val="0"/>
      <w:sz w:val="24"/>
      <w:szCs w:val="21"/>
      <w:lang w:val="zh-CN" w:eastAsia="zh-CN"/>
    </w:rPr>
  </w:style>
  <w:style w:type="character" w:customStyle="1" w:styleId="7">
    <w:name w:val="标题 7 字符"/>
    <w:basedOn w:val="DefaultParagraphFont"/>
    <w:link w:val="Heading7"/>
    <w:qFormat/>
    <w:rPr>
      <w:rFonts w:ascii="Arial" w:eastAsia="宋体" w:hAnsi="Arial" w:cs="Times New Roman"/>
      <w:b/>
      <w:bCs/>
      <w:kern w:val="0"/>
      <w:sz w:val="24"/>
      <w:szCs w:val="21"/>
      <w:lang w:val="zh-CN" w:eastAsia="zh-CN"/>
    </w:rPr>
  </w:style>
  <w:style w:type="character" w:customStyle="1" w:styleId="8">
    <w:name w:val="标题 8 字符"/>
    <w:basedOn w:val="DefaultParagraphFont"/>
    <w:link w:val="Heading8"/>
    <w:qFormat/>
    <w:rPr>
      <w:rFonts w:ascii="Arial" w:eastAsia="黑体" w:hAnsi="Arial" w:cs="Times New Roman"/>
      <w:kern w:val="0"/>
      <w:sz w:val="24"/>
      <w:szCs w:val="21"/>
      <w:lang w:val="zh-CN" w:eastAsia="zh-CN"/>
    </w:rPr>
  </w:style>
  <w:style w:type="character" w:customStyle="1" w:styleId="9">
    <w:name w:val="标题 9 字符"/>
    <w:basedOn w:val="DefaultParagraphFont"/>
    <w:link w:val="Heading9"/>
    <w:qFormat/>
    <w:rPr>
      <w:rFonts w:ascii="Arial" w:eastAsia="黑体" w:hAnsi="Arial" w:cs="Times New Roman"/>
      <w:kern w:val="0"/>
      <w:sz w:val="20"/>
      <w:szCs w:val="21"/>
      <w:lang w:val="zh-CN" w:eastAsia="zh-CN"/>
    </w:rPr>
  </w:style>
  <w:style w:type="character" w:customStyle="1" w:styleId="Char">
    <w:name w:val="表格正文 Char"/>
    <w:link w:val="a3"/>
    <w:qFormat/>
    <w:rPr>
      <w:rFonts w:ascii="宋体" w:eastAsia="宋体" w:hAnsi="宋体" w:cs="Times New Roman"/>
      <w:bCs/>
      <w:kern w:val="0"/>
      <w:sz w:val="20"/>
      <w:szCs w:val="20"/>
    </w:rPr>
  </w:style>
  <w:style w:type="paragraph" w:customStyle="1" w:styleId="a3">
    <w:name w:val="表格正文"/>
    <w:basedOn w:val="Normal"/>
    <w:link w:val="Char"/>
    <w:qFormat/>
    <w:pPr>
      <w:framePr w:hSpace="180" w:wrap="around" w:vAnchor="text" w:hAnchor="page" w:x="1736" w:y="1094"/>
      <w:widowControl/>
      <w:overflowPunct w:val="0"/>
      <w:autoSpaceDE w:val="0"/>
      <w:autoSpaceDN w:val="0"/>
      <w:adjustRightInd w:val="0"/>
      <w:spacing w:before="60" w:afterLines="50" w:line="400" w:lineRule="exact"/>
      <w:ind w:firstLine="420"/>
      <w:textAlignment w:val="baseline"/>
    </w:pPr>
    <w:rPr>
      <w:rFonts w:ascii="宋体" w:hAnsi="宋体"/>
      <w:bCs/>
      <w:kern w:val="0"/>
      <w:sz w:val="20"/>
    </w:rPr>
  </w:style>
  <w:style w:type="character" w:customStyle="1" w:styleId="30">
    <w:name w:val="正文文本 3 字符"/>
    <w:link w:val="BodyText3"/>
    <w:qFormat/>
    <w:rPr>
      <w:rFonts w:ascii="Arial" w:eastAsia="宋体" w:hAnsi="Arial" w:cs="Times New Roman"/>
      <w:kern w:val="0"/>
      <w:sz w:val="16"/>
      <w:szCs w:val="16"/>
    </w:rPr>
  </w:style>
  <w:style w:type="character" w:customStyle="1" w:styleId="3Char1">
    <w:name w:val="正文文本 3 Char1"/>
    <w:basedOn w:val="DefaultParagraphFont"/>
    <w:uiPriority w:val="99"/>
    <w:semiHidden/>
    <w:qFormat/>
    <w:rPr>
      <w:rFonts w:ascii="Times New Roman" w:eastAsia="宋体" w:hAnsi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1030</Words>
  <Characters>1102</Characters>
  <Application>Microsoft Office Word</Application>
  <DocSecurity>0</DocSecurity>
  <Lines>15</Lines>
  <Paragraphs>4</Paragraphs>
  <ScaleCrop>false</ScaleCrop>
  <Company/>
  <LinksUpToDate>false</LinksUpToDate>
  <CharactersWithSpaces>1336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SkyUN.Org</dc:creator>
  <cp:lastModifiedBy>郝宇</cp:lastModifiedBy>
  <cp:revision>55</cp:revision>
  <cp:lastPrinted>2021-03-19T10:57:00Z</cp:lastPrinted>
  <dcterms:created xsi:type="dcterms:W3CDTF">2016-12-07T01:58:00Z</dcterms:created>
  <dcterms:modified xsi:type="dcterms:W3CDTF">2026-04-25T16:34:10Z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9BDE68D7997741A097EFAB7E2C47AEDD_13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