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153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4401"/>
      <w:r>
        <w:rPr>
          <w:rFonts w:hint="eastAsia"/>
          <w:lang w:val="en-US" w:eastAsia="zh-CN"/>
        </w:rPr>
        <w:t>运维应急管理制度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新建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lang w:val="en-US"/>
              </w:rPr>
            </w:pP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_Toc11537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运维应急管理制度</w:t>
          </w:r>
          <w:r>
            <w:tab/>
          </w:r>
          <w:r>
            <w:fldChar w:fldCharType="begin"/>
          </w:r>
          <w:r>
            <w:instrText xml:space="preserve"> PAGEREF _Toc4401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_Toc8788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_Toc8788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_Toc24662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_Toc24662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_Toc5183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应急管理原则</w:t>
          </w:r>
          <w:r>
            <w:tab/>
          </w:r>
          <w:r>
            <w:fldChar w:fldCharType="begin"/>
          </w:r>
          <w:r>
            <w:instrText xml:space="preserve"> PAGEREF _Toc10277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_Toc12609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组织与职责</w:t>
          </w:r>
          <w:r>
            <w:tab/>
          </w:r>
          <w:r>
            <w:fldChar w:fldCharType="begin"/>
          </w:r>
          <w:r>
            <w:instrText xml:space="preserve"> PAGEREF _Toc12609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运维部</w:t>
          </w:r>
          <w:r>
            <w:tab/>
          </w:r>
          <w:r>
            <w:fldChar w:fldCharType="begin"/>
          </w:r>
          <w:r>
            <w:instrText xml:space="preserve"> PAGEREF _Toc3191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研发部</w:t>
          </w:r>
          <w:r>
            <w:tab/>
          </w:r>
          <w:r>
            <w:fldChar w:fldCharType="begin"/>
          </w:r>
          <w:r>
            <w:instrText xml:space="preserve"> PAGEREF _Toc2149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质量管理部</w:t>
          </w:r>
          <w:r>
            <w:tab/>
          </w:r>
          <w:r>
            <w:fldChar w:fldCharType="begin"/>
          </w:r>
          <w:r>
            <w:instrText xml:space="preserve"> PAGEREF _Toc22618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_Toc6128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应急预案管理</w:t>
          </w:r>
          <w:r>
            <w:tab/>
          </w:r>
          <w:r>
            <w:fldChar w:fldCharType="begin"/>
          </w:r>
          <w:r>
            <w:instrText xml:space="preserve"> PAGEREF _Toc6128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_Toc6852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预案制定</w:t>
          </w:r>
          <w:r>
            <w:tab/>
          </w:r>
          <w:r>
            <w:fldChar w:fldCharType="begin"/>
          </w:r>
          <w:r>
            <w:instrText xml:space="preserve"> PAGEREF _Toc6852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_Toc7604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预案维护</w:t>
          </w:r>
          <w:r>
            <w:tab/>
          </w:r>
          <w:r>
            <w:fldChar w:fldCharType="begin"/>
          </w:r>
          <w:r>
            <w:instrText xml:space="preserve"> PAGEREF _Toc7604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_Toc16909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预案演练</w:t>
          </w:r>
          <w:r>
            <w:tab/>
          </w:r>
          <w:r>
            <w:fldChar w:fldCharType="begin"/>
          </w:r>
          <w:r>
            <w:instrText xml:space="preserve"> PAGEREF _Toc16909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应急响应流程</w:t>
          </w:r>
          <w:r>
            <w:tab/>
          </w:r>
          <w:r>
            <w:fldChar w:fldCharType="begin"/>
          </w:r>
          <w:r>
            <w:instrText xml:space="preserve"> PAGEREF _Toc7992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_Toc29699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7.1. 监测与预警</w:t>
          </w:r>
          <w:r>
            <w:tab/>
          </w:r>
          <w:r>
            <w:fldChar w:fldCharType="begin"/>
          </w:r>
          <w:r>
            <w:instrText xml:space="preserve"> PAGEREF _Toc29699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7.2. 启动与响应</w:t>
          </w:r>
          <w:r>
            <w:tab/>
          </w:r>
          <w:r>
            <w:fldChar w:fldCharType="begin"/>
          </w:r>
          <w:r>
            <w:instrText xml:space="preserve"> PAGEREF _Toc4073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7.3. 处置与恢复</w:t>
          </w:r>
          <w:r>
            <w:tab/>
          </w:r>
          <w:r>
            <w:fldChar w:fldCharType="begin"/>
          </w:r>
          <w:r>
            <w:instrText xml:space="preserve"> PAGEREF _Toc4054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7.4. 终止与报告</w:t>
          </w:r>
          <w:r>
            <w:tab/>
          </w:r>
          <w:r>
            <w:fldChar w:fldCharType="begin"/>
          </w:r>
          <w:r>
            <w:instrText xml:space="preserve"> PAGEREF _Toc28130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应急总结与改进</w:t>
          </w:r>
          <w:r>
            <w:tab/>
          </w:r>
          <w:r>
            <w:fldChar w:fldCharType="begin"/>
          </w:r>
          <w:r>
            <w:instrText xml:space="preserve"> PAGEREF _Toc28720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_Toc12833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8.1. 事件复盘</w:t>
          </w:r>
          <w:r>
            <w:tab/>
          </w:r>
          <w:r>
            <w:fldChar w:fldCharType="begin"/>
          </w:r>
          <w:r>
            <w:instrText xml:space="preserve"> PAGEREF _Toc12833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_Toc30510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8.2. 报告编制</w:t>
          </w:r>
          <w:r>
            <w:tab/>
          </w:r>
          <w:r>
            <w:fldChar w:fldCharType="begin"/>
          </w:r>
          <w:r>
            <w:instrText xml:space="preserve"> PAGEREF _Toc30510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8.3. 改进跟踪</w:t>
          </w:r>
          <w:r>
            <w:tab/>
          </w:r>
          <w:r>
            <w:fldChar w:fldCharType="begin"/>
          </w:r>
          <w:r>
            <w:instrText xml:space="preserve"> PAGEREF _Toc5910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资源保障</w:t>
          </w:r>
          <w:r>
            <w:tab/>
          </w:r>
          <w:r>
            <w:fldChar w:fldCharType="begin"/>
          </w:r>
          <w:r>
            <w:instrText xml:space="preserve"> PAGEREF _Toc31520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_Toc4335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_Toc8752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11. 附则</w:t>
          </w:r>
          <w:r>
            <w:tab/>
          </w:r>
          <w:r>
            <w:fldChar w:fldCharType="begin"/>
          </w:r>
          <w:r>
            <w:instrText xml:space="preserve"> PAGEREF _Toc8752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8788"/>
      <w:r>
        <w:rPr>
          <w:rFonts w:hint="default"/>
          <w:lang w:val="en-US" w:eastAsia="zh-CN"/>
        </w:rPr>
        <w:t>目的</w:t>
      </w:r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为建立健全公司</w:t>
      </w:r>
      <w:bookmarkStart w:id="3" w:name="_GoBack"/>
      <w:bookmarkEnd w:id="3"/>
      <w:r>
        <w:rPr>
          <w:rFonts w:hint="default"/>
          <w:lang w:val="en-US" w:eastAsia="zh-CN"/>
        </w:rPr>
        <w:t>运维服务的应急响应机制，规范对突发事件的预防、准备、响应、恢复和总结改进的全过程管理，最大限度地预防和减少突发事件造成的业务影响与损失，保障客户业务连续性，特制定本制度。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24662"/>
      <w:r>
        <w:rPr>
          <w:rFonts w:hint="default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本制度适用于公司运维服务范围内，因软件系统故障、信息安全事件、数据中心服务中断等突发事件（以下简称“应急事件”）的应急响应管理活动。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5183"/>
      <w:r>
        <w:rPr>
          <w:rFonts w:hint="default"/>
          <w:lang w:val="en-US" w:eastAsia="zh-CN"/>
        </w:rPr>
        <w:t>定义与术语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应急事件：指突发的、对运维服务系统造成或可能造成严重危害，需要立即采取超出常规作业程序的行动进行处置的事件。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应急预案：为应对特定类型应急事件而预先制定的行动方案、资源调配和指挥协调程序。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应急管理部</w:t>
      </w:r>
      <w:r>
        <w:rPr>
          <w:rFonts w:hint="default"/>
          <w:lang w:val="en-US" w:eastAsia="zh-CN"/>
        </w:rPr>
        <w:t>：应急响应期间成立的临时指挥机构，负责统一决策与协调。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业务影响分析（BIA）： 分析应急事件对客户业务功能及SLA可能造成的冲击和影响。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10277"/>
      <w:r>
        <w:rPr>
          <w:rFonts w:hint="default"/>
          <w:lang w:val="en-US" w:eastAsia="zh-CN"/>
        </w:rPr>
        <w:t>应急管理原则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预防为主，常备不懈：加强日常监控、风险评估和预案演练，提升预防能力。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统一指挥，分级负责：建立清晰的指挥体系，按照事件级别启动相应层级的响应。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快速响应，协同处置：确保信息通畅、决策迅速、各团队协同有效。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持续改进，闭环管理：每次应急后必须进行复盘总结，完善预案与流程。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12609"/>
      <w:r>
        <w:rPr>
          <w:rFonts w:hint="default"/>
          <w:lang w:val="en-US" w:eastAsia="zh-CN"/>
        </w:rPr>
        <w:t>组织与职责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3191"/>
      <w:r>
        <w:rPr>
          <w:rFonts w:hint="default"/>
          <w:lang w:val="en-US" w:eastAsia="zh-CN"/>
        </w:rPr>
        <w:t>运维部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负责本制度的制定、修订、宣贯与监督执行。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负责组织公司级及重大业务应急预案的编制、评审、更新、演练与维护。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在应急响应期间，负责组建应急指挥组并承担指挥协调中心职能。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负责监督应急响应全过程，并组织事后总结、报告编制与改进措施跟踪。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负责所辖系统具体应急预案的制定与日常维护。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作为一线应急响应的核心执行力量，负责事件的技术排查、故障隔离与系统恢复。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负责应急期间的技术信息提供与处置过程记录。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服务台（信息枢纽）：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作为应急事件初始接报的统一入口（依据《服务台管理制度》）。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负责初步判断、紧急上报，并按照应急指挥组指令，执行客户沟通与状态通报任务。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149"/>
      <w:r>
        <w:rPr>
          <w:rFonts w:hint="default"/>
          <w:lang w:val="en-US" w:eastAsia="zh-CN"/>
        </w:rPr>
        <w:t>研发部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为复杂或重大的技术问题提供专家级支持，参与根因分析。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协助验证及提供紧急修复补丁或版本。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2618"/>
      <w:r>
        <w:rPr>
          <w:rFonts w:hint="default"/>
          <w:lang w:val="en-US" w:eastAsia="zh-CN"/>
        </w:rPr>
        <w:t>质量管理部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参与应急预案的评审，确保其与质量体系要求相符。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参与或监督重大应急事件的总结复盘，从质量改进角度提出独立建议。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6128"/>
      <w:r>
        <w:rPr>
          <w:rFonts w:hint="default"/>
          <w:lang w:val="en-US" w:eastAsia="zh-CN"/>
        </w:rPr>
        <w:t>应急预案管理</w:t>
      </w:r>
      <w:bookmarkEnd w:id="11"/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6852"/>
      <w:r>
        <w:rPr>
          <w:rFonts w:hint="default"/>
          <w:lang w:val="en-US" w:eastAsia="zh-CN"/>
        </w:rPr>
        <w:t>预案制定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应急管理部组织各业务部门，基于业务影响分析（BIA）和风险评估，识别关键业务场景及潜在风险。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针对重大风险，须编制专项《应急预案》。预案内容应包括：事件定义与分级、组织与职责、应急启动条件、处置流程、沟通计划、恢复步骤、资源清单等。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预案需经相关部门会签，并由公司主管领导批准后发布。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7604"/>
      <w:r>
        <w:rPr>
          <w:rFonts w:hint="default"/>
          <w:lang w:val="en-US" w:eastAsia="zh-CN"/>
        </w:rPr>
        <w:t>预案维护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应急预案实行动态管理。每年至少进行一次系统性评审。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当出现以下情况时，必须及时启动预案修订：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组织架构、关键人员或联系方式发生重大变更。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运维的系统、技术架构或业务逻辑发生重大变化。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法律法规或客户合同要求发生变化。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通过应急演练或实际响应发现预案存在缺陷。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6909"/>
      <w:r>
        <w:rPr>
          <w:rFonts w:hint="default"/>
          <w:lang w:val="en-US" w:eastAsia="zh-CN"/>
        </w:rPr>
        <w:t>预案演练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应急管理部负责制定年度《应急演练计划》。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针对核心业务系统应急预案，每年至少组织一次实战演练或桌面推演。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演练后须形成《演练总结报告》，评估预案有效性，并记录发现的问题与改进措施。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5" w:name="_Toc7992"/>
      <w:r>
        <w:rPr>
          <w:rFonts w:hint="default"/>
          <w:lang w:val="en-US" w:eastAsia="zh-CN"/>
        </w:rPr>
        <w:t>应急响应流程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9699"/>
      <w:r>
        <w:rPr>
          <w:rFonts w:hint="default"/>
          <w:lang w:val="en-US" w:eastAsia="zh-CN"/>
        </w:rPr>
        <w:t>监测与预警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通过运维监控工具、服务台报告等渠道，实时监测系统状态。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发现符合应急预案中定义的预警条件时，监测人员应立即按预案规定进行预警通报。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4073"/>
      <w:r>
        <w:rPr>
          <w:rFonts w:hint="default"/>
          <w:lang w:val="en-US" w:eastAsia="zh-CN"/>
        </w:rPr>
        <w:t>启动与响应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事件上报与确认： 服务台或监控人员确认事件后，立即上报应急管理部及运维部经理。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定级与启动： 应急管理部会同技术负责人，根据事件影响范围、业务中断时间等因素初步定级，并决定启动相应级别的应急预案。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成立指挥部： 重大事件（如一级、二级）须立即成立应急指挥部，明确指挥长及各组职责。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4054"/>
      <w:r>
        <w:rPr>
          <w:rFonts w:hint="default"/>
          <w:lang w:val="en-US" w:eastAsia="zh-CN"/>
        </w:rPr>
        <w:t>处置与恢复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紧急处置： 技术团队按照预案进行故障隔离、系统恢复等操作，优先恢复核心业务。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沟通通报： 应急指挥部或指定人员（通常由服务台协助）根据沟通计划，定时向客户、管理层通报事件进展。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协同联动： 各团队在指挥部统一协调下工作，确保信息同步、行动一致。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8130"/>
      <w:r>
        <w:rPr>
          <w:rFonts w:hint="default"/>
          <w:lang w:val="en-US" w:eastAsia="zh-CN"/>
        </w:rPr>
        <w:t>终止与报告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响应终止： 事件得到有效控制，系统服务恢复，经评估满足终止条件后，由应急指挥部或授权领导宣布应急响应终止。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初步报告： 响应终止后24小时内，技术负责人需提交《应急事件初步报告》，说明事件现象、处置过程及当前状态。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28720"/>
      <w:r>
        <w:rPr>
          <w:rFonts w:hint="default"/>
          <w:lang w:val="en-US" w:eastAsia="zh-CN"/>
        </w:rPr>
        <w:t>应急总结与改进</w:t>
      </w:r>
      <w:bookmarkEnd w:id="20"/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12833"/>
      <w:r>
        <w:rPr>
          <w:rFonts w:hint="default"/>
          <w:lang w:val="en-US" w:eastAsia="zh-CN"/>
        </w:rPr>
        <w:t>事件复盘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应急响应终止后5个工作日内，应急管理部必须组织一次事件复盘会议。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参与人员应包括应急处置相关各方。复盘需采用根本原因分析法，重点分析事件原因、响应过程的不足及预案的适用性。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30510"/>
      <w:r>
        <w:rPr>
          <w:rFonts w:hint="default"/>
          <w:lang w:val="en-US" w:eastAsia="zh-CN"/>
        </w:rPr>
        <w:t>报告编制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复盘会后3个工作日内，由应急管理部牵头编制正式的《应急响应总结报告》。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报告内容应包括：事件概述、影响分析、时间线追溯、根本原因、处置过程评估、经验教训、改进措施建议。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5910"/>
      <w:r>
        <w:rPr>
          <w:rFonts w:hint="default"/>
          <w:lang w:val="en-US" w:eastAsia="zh-CN"/>
        </w:rPr>
        <w:t>改进跟踪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报告中的改进措施应明确责任部门与完成时限，并纳入公司统一的改进跟踪体系（如录入《服务改进措施表》）。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应急管理部负责跟踪改进措施的落实，直至闭环。重大改进措施应触发相关预案和制度的修订。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4" w:name="_Toc31520"/>
      <w:r>
        <w:rPr>
          <w:rFonts w:hint="default"/>
          <w:lang w:val="en-US" w:eastAsia="zh-CN"/>
        </w:rPr>
        <w:t>资源保障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人员保障：建立应急专家与技术人员名录，确保联络畅通。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工具保障：确保应急所需的运维工具、监控平台、通讯工具在应急期间可用（参照《运维服务工具管理制度》）。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知识保障：应急案例及解决方案应及时总结，纳入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（参照《服务知识管理制度》），供未来参考。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5" w:name="_Toc4335"/>
      <w:r>
        <w:rPr>
          <w:rFonts w:hint="eastAsia"/>
          <w:lang w:val="en-US" w:eastAsia="zh-CN"/>
        </w:rPr>
        <w:t>考核指标</w:t>
      </w:r>
      <w:bookmarkEnd w:id="25"/>
    </w:p>
    <w:tbl>
      <w:tblPr>
        <w:tblStyle w:val="TableNormal"/>
        <w:tblW w:w="8504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1276"/>
        <w:gridCol w:w="5035"/>
        <w:gridCol w:w="926"/>
      </w:tblGrid>
      <w:tr>
        <w:tblPrEx>
          <w:tblW w:w="8504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8504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项目应急演练次数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≥1次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数量，应急演练报告数量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26" w:name="_Toc8752"/>
      <w:r>
        <w:rPr>
          <w:rFonts w:hint="default"/>
          <w:lang w:val="en-US" w:eastAsia="zh-CN"/>
        </w:rPr>
        <w:t>附则</w:t>
      </w:r>
      <w:bookmarkEnd w:id="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本制度自发布之日起执行，由应急管理部负责解释与修订。本制度与《服务台管理制度》、《服务交付管理制度》等配套执行。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2440</Words>
  <Characters>2555</Characters>
  <Application>Microsoft Office Word</Application>
  <DocSecurity>0</DocSecurity>
  <Lines>0</Lines>
  <Paragraphs>0</Paragraphs>
  <ScaleCrop>false</ScaleCrop>
  <Company/>
  <LinksUpToDate>false</LinksUpToDate>
  <CharactersWithSpaces>2666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2026-04-24T22:51:35Z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