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9283"/>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3084"/>
      <w:r>
        <w:rPr>
          <w:rFonts w:hint="eastAsia"/>
          <w:lang w:val="en-US" w:eastAsia="zh-CN"/>
        </w:rPr>
        <w:t>人员备份管理制度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eastAsia="宋体" w:hAnsi="宋体" w:cs="宋体" w:hint="eastAsia"/>
          <w:b/>
          <w:bCs/>
          <w:spacing w:val="-3"/>
          <w:sz w:val="24"/>
          <w:szCs w:val="24"/>
          <w:lang w:val="en-US" w:eastAsia="zh-CN"/>
        </w:rPr>
        <w:t>5</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人力资源部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r>
              <w:rPr>
                <w:rFonts w:ascii="宋体" w:eastAsia="宋体" w:hAnsi="宋体" w:cs="宋体"/>
                <w:spacing w:val="3"/>
                <w:position w:val="1"/>
                <w:sz w:val="20"/>
                <w:szCs w:val="20"/>
              </w:rPr>
              <w:t>2022.6.20</w:t>
            </w: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宋体" w:eastAsia="宋体" w:hAnsi="宋体" w:cs="宋体" w:hint="eastAsia"/>
                <w:spacing w:val="200"/>
                <w:kern w:val="0"/>
                <w:sz w:val="20"/>
                <w:szCs w:val="20"/>
                <w:lang w:val="en-US" w:eastAsia="zh-CN"/>
              </w:rPr>
              <w:t>平湾</w:t>
            </w: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茅建根</w:t>
            </w: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r>
              <w:rPr>
                <w:rFonts w:ascii="宋体" w:eastAsia="宋体" w:hAnsi="宋体" w:cs="宋体"/>
                <w:spacing w:val="3"/>
                <w:position w:val="1"/>
                <w:sz w:val="20"/>
                <w:szCs w:val="20"/>
              </w:rPr>
              <w:t>2025.1.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zh-CN" w:bidi="ar-SA"/>
              </w:rPr>
            </w:pPr>
            <w:r>
              <w:rPr>
                <w:rFonts w:ascii="宋体" w:hAnsi="宋体" w:cs="宋体" w:hint="eastAsia"/>
                <w:snapToGrid w:val="0"/>
                <w:color w:val="000000"/>
                <w:kern w:val="0"/>
                <w:sz w:val="20"/>
                <w:szCs w:val="20"/>
                <w:lang w:val="en-US" w:eastAsia="zh-CN" w:bidi="ar-SA"/>
              </w:rPr>
              <w:t>添加考核与责任</w:t>
            </w:r>
          </w:p>
        </w:tc>
        <w:tc>
          <w:tcPr>
            <w:tcW w:w="182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宋体" w:eastAsia="宋体" w:hAnsi="宋体" w:cs="宋体" w:hint="eastAsia"/>
                <w:spacing w:val="200"/>
                <w:kern w:val="0"/>
                <w:sz w:val="20"/>
                <w:szCs w:val="20"/>
                <w:lang w:val="en-US" w:eastAsia="zh-CN"/>
              </w:rPr>
              <w:t>平湾</w:t>
            </w:r>
          </w:p>
        </w:tc>
        <w:tc>
          <w:tcPr>
            <w:tcW w:w="1606"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茅建根</w:t>
            </w:r>
          </w:p>
        </w:tc>
        <w:tc>
          <w:tcPr>
            <w:tcW w:w="915"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_Toc19283 </w:instrText>
          </w:r>
          <w:r>
            <w:rPr>
              <w:rFonts w:ascii="宋体" w:eastAsia="宋体" w:hAnsi="宋体" w:cs="宋体" w:hint="eastAsia"/>
              <w:szCs w:val="24"/>
            </w:rPr>
            <w:fldChar w:fldCharType="separate"/>
          </w:r>
          <w:r>
            <w:rPr>
              <w:rFonts w:hint="eastAsia"/>
              <w:lang w:val="en-US" w:eastAsia="zh-CN"/>
            </w:rPr>
            <w:t>桐乡华数广电网络有限公司</w:t>
          </w:r>
          <w:r>
            <w:tab/>
          </w:r>
          <w:r>
            <w:fldChar w:fldCharType="begin"/>
          </w:r>
          <w:r>
            <w:instrText xml:space="preserve"> PAGEREF _Toc19283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_Toc23084 </w:instrText>
          </w:r>
          <w:r>
            <w:rPr>
              <w:rFonts w:ascii="宋体" w:eastAsia="宋体" w:hAnsi="宋体" w:cs="宋体" w:hint="eastAsia"/>
              <w:szCs w:val="24"/>
            </w:rPr>
            <w:fldChar w:fldCharType="separate"/>
          </w:r>
          <w:r>
            <w:rPr>
              <w:rFonts w:hint="eastAsia"/>
              <w:lang w:val="en-US" w:eastAsia="zh-CN"/>
            </w:rPr>
            <w:t>人员备份管理制度</w:t>
          </w:r>
          <w:r>
            <w:tab/>
          </w:r>
          <w:r>
            <w:fldChar w:fldCharType="begin"/>
          </w:r>
          <w:r>
            <w:instrText xml:space="preserve"> PAGEREF _Toc23084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_Toc27602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_Toc27602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_Toc10108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_Toc10108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_Toc24857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定义</w:t>
          </w:r>
          <w:r>
            <w:tab/>
          </w:r>
          <w:r>
            <w:fldChar w:fldCharType="begin"/>
          </w:r>
          <w:r>
            <w:instrText xml:space="preserve"> PAGEREF _Toc24857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_Toc29479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适用范围</w:t>
          </w:r>
          <w:r>
            <w:tab/>
          </w:r>
          <w:r>
            <w:fldChar w:fldCharType="begin"/>
          </w:r>
          <w:r>
            <w:instrText xml:space="preserve"> PAGEREF _Toc29479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_Toc12865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管理职责</w:t>
          </w:r>
          <w:r>
            <w:tab/>
          </w:r>
          <w:r>
            <w:fldChar w:fldCharType="begin"/>
          </w:r>
          <w:r>
            <w:instrText xml:space="preserve"> PAGEREF _Toc12865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_Toc16211 </w:instrText>
          </w:r>
          <w:r>
            <w:rPr>
              <w:rFonts w:ascii="宋体" w:eastAsia="宋体" w:hAnsi="宋体" w:cs="宋体" w:hint="eastAsia"/>
              <w:szCs w:val="24"/>
            </w:rPr>
            <w:fldChar w:fldCharType="separate"/>
          </w:r>
          <w:r>
            <w:rPr>
              <w:rFonts w:hint="default"/>
              <w:lang w:val="en-US" w:eastAsia="zh-CN"/>
            </w:rPr>
            <w:t xml:space="preserve">2.1. </w:t>
          </w:r>
          <w:r>
            <w:rPr>
              <w:rFonts w:hint="eastAsia"/>
              <w:lang w:val="en-US" w:eastAsia="zh-CN"/>
            </w:rPr>
            <w:t>运维相关部门</w:t>
          </w:r>
          <w:r>
            <w:tab/>
          </w:r>
          <w:r>
            <w:fldChar w:fldCharType="begin"/>
          </w:r>
          <w:r>
            <w:instrText xml:space="preserve"> PAGEREF _Toc16211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_Toc31337 </w:instrText>
          </w:r>
          <w:r>
            <w:rPr>
              <w:rFonts w:ascii="宋体" w:eastAsia="宋体" w:hAnsi="宋体" w:cs="宋体" w:hint="eastAsia"/>
              <w:szCs w:val="24"/>
            </w:rPr>
            <w:fldChar w:fldCharType="separate"/>
          </w:r>
          <w:r>
            <w:rPr>
              <w:rFonts w:hint="default"/>
              <w:lang w:val="en-US" w:eastAsia="zh-CN"/>
            </w:rPr>
            <w:t xml:space="preserve">2.2. </w:t>
          </w:r>
          <w:r>
            <w:rPr>
              <w:rFonts w:hint="eastAsia"/>
              <w:lang w:val="en-US" w:eastAsia="zh-CN"/>
            </w:rPr>
            <w:t>人力资源部</w:t>
          </w:r>
          <w:r>
            <w:tab/>
          </w:r>
          <w:r>
            <w:fldChar w:fldCharType="begin"/>
          </w:r>
          <w:r>
            <w:instrText xml:space="preserve"> PAGEREF _Toc31337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_Toc7671 </w:instrText>
          </w:r>
          <w:r>
            <w:rPr>
              <w:rFonts w:ascii="宋体" w:eastAsia="宋体" w:hAnsi="宋体" w:cs="宋体" w:hint="eastAsia"/>
              <w:szCs w:val="24"/>
            </w:rPr>
            <w:fldChar w:fldCharType="separate"/>
          </w:r>
          <w:r>
            <w:rPr>
              <w:rFonts w:hint="default"/>
              <w:lang w:val="en-US" w:eastAsia="zh-CN"/>
            </w:rPr>
            <w:t xml:space="preserve">2.3. </w:t>
          </w:r>
          <w:r>
            <w:rPr>
              <w:rFonts w:hint="eastAsia"/>
              <w:lang w:val="en-US" w:eastAsia="zh-CN"/>
            </w:rPr>
            <w:t>A角（主办人员）职责</w:t>
          </w:r>
          <w:r>
            <w:tab/>
          </w:r>
          <w:r>
            <w:fldChar w:fldCharType="begin"/>
          </w:r>
          <w:r>
            <w:instrText xml:space="preserve"> PAGEREF _Toc7671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_Toc466 </w:instrText>
          </w:r>
          <w:r>
            <w:rPr>
              <w:rFonts w:ascii="宋体" w:eastAsia="宋体" w:hAnsi="宋体" w:cs="宋体" w:hint="eastAsia"/>
              <w:szCs w:val="24"/>
            </w:rPr>
            <w:fldChar w:fldCharType="separate"/>
          </w:r>
          <w:r>
            <w:rPr>
              <w:rFonts w:hint="default"/>
              <w:lang w:val="en-US" w:eastAsia="zh-CN"/>
            </w:rPr>
            <w:t xml:space="preserve">2.4. </w:t>
          </w:r>
          <w:r>
            <w:rPr>
              <w:rFonts w:hint="eastAsia"/>
              <w:lang w:val="en-US" w:eastAsia="zh-CN"/>
            </w:rPr>
            <w:t>B角（备份人员）职责</w:t>
          </w:r>
          <w:r>
            <w:tab/>
          </w:r>
          <w:r>
            <w:fldChar w:fldCharType="begin"/>
          </w:r>
          <w:r>
            <w:instrText xml:space="preserve"> PAGEREF _Toc466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_Toc17379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备份岗位设置与备案</w:t>
          </w:r>
          <w:r>
            <w:tab/>
          </w:r>
          <w:r>
            <w:fldChar w:fldCharType="begin"/>
          </w:r>
          <w:r>
            <w:instrText xml:space="preserve"> PAGEREF _Toc17379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_Toc26935 </w:instrText>
          </w:r>
          <w:r>
            <w:rPr>
              <w:rFonts w:ascii="宋体" w:eastAsia="宋体" w:hAnsi="宋体" w:cs="宋体" w:hint="eastAsia"/>
              <w:szCs w:val="24"/>
            </w:rPr>
            <w:fldChar w:fldCharType="separate"/>
          </w:r>
          <w:r>
            <w:rPr>
              <w:rFonts w:hint="default"/>
              <w:lang w:val="en-US" w:eastAsia="zh-CN"/>
            </w:rPr>
            <w:t xml:space="preserve">3.1. </w:t>
          </w:r>
          <w:r>
            <w:rPr>
              <w:rFonts w:hint="eastAsia"/>
              <w:lang w:val="en-US" w:eastAsia="zh-CN"/>
            </w:rPr>
            <w:t>B角人选标准</w:t>
          </w:r>
          <w:r>
            <w:tab/>
          </w:r>
          <w:r>
            <w:fldChar w:fldCharType="begin"/>
          </w:r>
          <w:r>
            <w:instrText xml:space="preserve"> PAGEREF _Toc26935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_Toc22864 </w:instrText>
          </w:r>
          <w:r>
            <w:rPr>
              <w:rFonts w:ascii="宋体" w:eastAsia="宋体" w:hAnsi="宋体" w:cs="宋体" w:hint="eastAsia"/>
              <w:szCs w:val="24"/>
            </w:rPr>
            <w:fldChar w:fldCharType="separate"/>
          </w:r>
          <w:r>
            <w:rPr>
              <w:rFonts w:hint="default"/>
              <w:lang w:val="en-US" w:eastAsia="zh-CN"/>
            </w:rPr>
            <w:t xml:space="preserve">3.2. </w:t>
          </w:r>
          <w:r>
            <w:rPr>
              <w:rFonts w:hint="eastAsia"/>
              <w:lang w:val="en-US" w:eastAsia="zh-CN"/>
            </w:rPr>
            <w:t>备份清单建立与维护流程</w:t>
          </w:r>
          <w:r>
            <w:tab/>
          </w:r>
          <w:r>
            <w:fldChar w:fldCharType="begin"/>
          </w:r>
          <w:r>
            <w:instrText xml:space="preserve"> PAGEREF _Toc22864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_Toc16566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备份触发与执行流程</w:t>
          </w:r>
          <w:r>
            <w:tab/>
          </w:r>
          <w:r>
            <w:fldChar w:fldCharType="begin"/>
          </w:r>
          <w:r>
            <w:instrText xml:space="preserve"> PAGEREF _Toc16566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_Toc7075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备份触发条件</w:t>
          </w:r>
          <w:r>
            <w:tab/>
          </w:r>
          <w:r>
            <w:fldChar w:fldCharType="begin"/>
          </w:r>
          <w:r>
            <w:instrText xml:space="preserve"> PAGEREF _Toc7075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_Toc28399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计划内备份流程</w:t>
          </w:r>
          <w:r>
            <w:tab/>
          </w:r>
          <w:r>
            <w:fldChar w:fldCharType="begin"/>
          </w:r>
          <w:r>
            <w:instrText xml:space="preserve"> PAGEREF _Toc28399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_Toc17025 </w:instrText>
          </w:r>
          <w:r>
            <w:rPr>
              <w:rFonts w:ascii="宋体" w:eastAsia="宋体" w:hAnsi="宋体" w:cs="宋体" w:hint="eastAsia"/>
              <w:szCs w:val="24"/>
            </w:rPr>
            <w:fldChar w:fldCharType="separate"/>
          </w:r>
          <w:r>
            <w:rPr>
              <w:rFonts w:hint="default"/>
              <w:lang w:val="en-US" w:eastAsia="zh-CN"/>
            </w:rPr>
            <w:t xml:space="preserve">4.3. </w:t>
          </w:r>
          <w:r>
            <w:rPr>
              <w:rFonts w:hint="eastAsia"/>
              <w:lang w:val="en-US" w:eastAsia="zh-CN"/>
            </w:rPr>
            <w:t>突发情况备份流程</w:t>
          </w:r>
          <w:r>
            <w:tab/>
          </w:r>
          <w:r>
            <w:fldChar w:fldCharType="begin"/>
          </w:r>
          <w:r>
            <w:instrText xml:space="preserve"> PAGEREF _Toc17025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_Toc12883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考核与责任</w:t>
          </w:r>
          <w:r>
            <w:tab/>
          </w:r>
          <w:r>
            <w:fldChar w:fldCharType="begin"/>
          </w:r>
          <w:r>
            <w:instrText xml:space="preserve"> PAGEREF _Toc12883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_Toc27253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考核机制</w:t>
          </w:r>
          <w:r>
            <w:tab/>
          </w:r>
          <w:r>
            <w:fldChar w:fldCharType="begin"/>
          </w:r>
          <w:r>
            <w:instrText xml:space="preserve"> PAGEREF _Toc27253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_Toc5560 </w:instrText>
          </w:r>
          <w:r>
            <w:rPr>
              <w:rFonts w:ascii="宋体" w:eastAsia="宋体" w:hAnsi="宋体" w:cs="宋体" w:hint="eastAsia"/>
              <w:szCs w:val="24"/>
            </w:rPr>
            <w:fldChar w:fldCharType="separate"/>
          </w:r>
          <w:r>
            <w:rPr>
              <w:rFonts w:hint="default"/>
              <w:lang w:val="en-US" w:eastAsia="zh-CN"/>
            </w:rPr>
            <w:t xml:space="preserve">5.2. </w:t>
          </w:r>
          <w:r>
            <w:rPr>
              <w:rFonts w:hint="eastAsia"/>
              <w:lang w:val="en-US" w:eastAsia="zh-CN"/>
            </w:rPr>
            <w:t>责任追究</w:t>
          </w:r>
          <w:r>
            <w:tab/>
          </w:r>
          <w:r>
            <w:fldChar w:fldCharType="begin"/>
          </w:r>
          <w:r>
            <w:instrText xml:space="preserve"> PAGEREF _Toc5560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_Toc6568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考核指标</w:t>
          </w:r>
          <w:r>
            <w:tab/>
          </w:r>
          <w:r>
            <w:fldChar w:fldCharType="begin"/>
          </w:r>
          <w:r>
            <w:instrText xml:space="preserve"> PAGEREF _Toc6568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_Toc15011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附则</w:t>
          </w:r>
          <w:r>
            <w:tab/>
          </w:r>
          <w:r>
            <w:fldChar w:fldCharType="begin"/>
          </w:r>
          <w:r>
            <w:instrText xml:space="preserve"> PAGEREF _Toc15011 \h </w:instrText>
          </w:r>
          <w:r>
            <w:fldChar w:fldCharType="separate"/>
          </w:r>
          <w:r>
            <w:t>7</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eastAsia"/>
          <w:lang w:val="en-US" w:eastAsia="zh-CN"/>
        </w:rPr>
      </w:pPr>
      <w:bookmarkStart w:id="2" w:name="_Toc27602"/>
      <w:r>
        <w:rPr>
          <w:rFonts w:hint="eastAsia"/>
          <w:lang w:val="en-US" w:eastAsia="zh-CN"/>
        </w:rPr>
        <w:t>总则</w:t>
      </w:r>
      <w:bookmarkEnd w:id="2"/>
    </w:p>
    <w:p>
      <w:pPr>
        <w:pStyle w:val="2"/>
        <w:bidi w:val="0"/>
        <w:rPr>
          <w:rFonts w:hint="eastAsia"/>
          <w:lang w:val="en-US" w:eastAsia="zh-CN"/>
        </w:rPr>
      </w:pPr>
      <w:bookmarkStart w:id="3" w:name="_Toc10108"/>
      <w:r>
        <w:rPr>
          <w:rFonts w:hint="eastAsia"/>
          <w:lang w:val="en-US" w:eastAsia="zh-CN"/>
        </w:rPr>
        <w:t>目的</w:t>
      </w:r>
      <w:bookmarkEnd w:id="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为确保公司</w:t>
      </w:r>
      <w:bookmarkStart w:id="4" w:name="_GoBack"/>
      <w:bookmarkEnd w:id="4"/>
      <w:r>
        <w:rPr>
          <w:rFonts w:hint="eastAsia"/>
          <w:lang w:val="en-US" w:eastAsia="zh-CN"/>
        </w:rPr>
        <w:t>运维服务连续、稳定，规避因关键岗位人员临时或长期缺位带来的服务中断风险，建立制度化、规范化的岗位备份机制，保障客户业务的高可用性，特制定本制度。</w:t>
      </w:r>
    </w:p>
    <w:p>
      <w:pPr>
        <w:pStyle w:val="2"/>
        <w:bidi w:val="0"/>
        <w:rPr>
          <w:rFonts w:hint="eastAsia"/>
          <w:lang w:val="en-US" w:eastAsia="zh-CN"/>
        </w:rPr>
      </w:pPr>
      <w:bookmarkStart w:id="5" w:name="_Toc24857"/>
      <w:r>
        <w:rPr>
          <w:rFonts w:hint="eastAsia"/>
          <w:lang w:val="en-US" w:eastAsia="zh-CN"/>
        </w:rPr>
        <w:t>定义</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B岗备份制度：指在公司关键运维岗位上，设立A角（主办）与B角（协办/备份）的互补协作机制。A角为岗位主要责任人，B角为备份责任人。当A角因休假、培训、出差或其他原因无法履职时，由已熟悉A角核心工作的B角代为承担其职责，确保工作无缝衔接、服务持续运行。</w:t>
      </w:r>
    </w:p>
    <w:p>
      <w:pPr>
        <w:pStyle w:val="2"/>
        <w:bidi w:val="0"/>
        <w:rPr>
          <w:rFonts w:hint="eastAsia"/>
          <w:lang w:val="en-US" w:eastAsia="zh-CN"/>
        </w:rPr>
      </w:pPr>
      <w:bookmarkStart w:id="6" w:name="_Toc29479"/>
      <w:r>
        <w:rPr>
          <w:rFonts w:hint="eastAsia"/>
          <w:lang w:val="en-US" w:eastAsia="zh-CN"/>
        </w:rPr>
        <w:t>适用范围</w:t>
      </w:r>
      <w:bookmarkEnd w:id="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本制度适用于公司内所有对运维服务连续性和稳定性有直接影响的关键岗位，主要包括但不限于：</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核心系统/平台的主要运维负责人</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重大客户接口人或项目负责人</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掌握特定专有技术或复杂流程的专家岗位</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服务台值班经理</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其他经部门认定需建立备份的岗位</w:t>
      </w:r>
    </w:p>
    <w:p>
      <w:pPr>
        <w:pStyle w:val="1"/>
        <w:bidi w:val="0"/>
        <w:rPr>
          <w:rFonts w:hint="eastAsia"/>
          <w:lang w:val="en-US" w:eastAsia="zh-CN"/>
        </w:rPr>
      </w:pPr>
      <w:bookmarkStart w:id="7" w:name="_Toc12865"/>
      <w:r>
        <w:rPr>
          <w:rFonts w:hint="eastAsia"/>
          <w:lang w:val="en-US" w:eastAsia="zh-CN"/>
        </w:rPr>
        <w:t>管理职责</w:t>
      </w:r>
      <w:bookmarkEnd w:id="7"/>
    </w:p>
    <w:p>
      <w:pPr>
        <w:pStyle w:val="2"/>
        <w:bidi w:val="0"/>
        <w:rPr>
          <w:rFonts w:hint="eastAsia"/>
          <w:lang w:val="en-US" w:eastAsia="zh-CN"/>
        </w:rPr>
      </w:pPr>
      <w:bookmarkStart w:id="8" w:name="_Toc16211"/>
      <w:r>
        <w:rPr>
          <w:rFonts w:hint="eastAsia"/>
          <w:lang w:val="en-US" w:eastAsia="zh-CN"/>
        </w:rPr>
        <w:t>运维相关部门</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负责识别并提报本部门需设立AB岗的关键岗位清单。</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负责为关键岗位选定合适的B角人员，并报人力资源部备案。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负责组织并监督A角与B角之间的日常知识传递、技能培训与定期演练。</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负责在备份触发时，协调工作交接与上岗安排。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负责对A、B角履职情况进行日常监督与考核评价。</w:t>
      </w:r>
    </w:p>
    <w:p>
      <w:pPr>
        <w:pStyle w:val="2"/>
        <w:bidi w:val="0"/>
        <w:rPr>
          <w:rFonts w:hint="eastAsia"/>
          <w:lang w:val="en-US" w:eastAsia="zh-CN"/>
        </w:rPr>
      </w:pPr>
      <w:bookmarkStart w:id="9" w:name="_Toc31337"/>
      <w:r>
        <w:rPr>
          <w:rFonts w:hint="eastAsia"/>
          <w:lang w:val="en-US" w:eastAsia="zh-CN"/>
        </w:rPr>
        <w:t>人力资源部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负责汇总并维护公司《关键岗位AB角备份清单》。</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负责将AB角协作与备份履职情况纳入相关人员绩效考核范畴。</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在备份涉及长期离岗（如离职、调岗）时，协同用人部门启动更深入的交接与人员补充流程。</w:t>
      </w:r>
    </w:p>
    <w:p>
      <w:pPr>
        <w:pStyle w:val="2"/>
        <w:bidi w:val="0"/>
        <w:rPr>
          <w:rFonts w:hint="eastAsia"/>
          <w:lang w:val="en-US" w:eastAsia="zh-CN"/>
        </w:rPr>
      </w:pPr>
      <w:bookmarkStart w:id="10" w:name="_Toc7671"/>
      <w:r>
        <w:rPr>
          <w:rFonts w:hint="eastAsia"/>
          <w:lang w:val="en-US" w:eastAsia="zh-CN"/>
        </w:rPr>
        <w:t>A角（主办人员）职责</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负责主动向B角传授岗位知识、技能、工作流程及注意事项。</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离岗前，必须主动、清晰、完整地向B角进行工作交接。</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离岗期间，应保持通讯畅通，在B角遇到重大疑难问题时提供远程支持。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返岗后，主动向B角了解并接回离岗期间的工作。</w:t>
      </w:r>
    </w:p>
    <w:p>
      <w:pPr>
        <w:pStyle w:val="2"/>
        <w:bidi w:val="0"/>
        <w:rPr>
          <w:rFonts w:hint="eastAsia"/>
          <w:lang w:val="en-US" w:eastAsia="zh-CN"/>
        </w:rPr>
      </w:pPr>
      <w:bookmarkStart w:id="11" w:name="_Toc466"/>
      <w:r>
        <w:rPr>
          <w:rFonts w:hint="eastAsia"/>
          <w:lang w:val="en-US" w:eastAsia="zh-CN"/>
        </w:rPr>
        <w:t>B角（备份人员）职责</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主动学习A角负责的核心业务，熟悉相关系统、文档和流程。</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在A角离岗时，无条件承接其工作，并对备份期间的工作结果负责。</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备份期间遇到无法独立解决的问题，应及时按流程上报。</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A角返岗后，清晰交接备份期间处理事项，并移交相关资料。</w:t>
      </w:r>
    </w:p>
    <w:p>
      <w:pPr>
        <w:pStyle w:val="1"/>
        <w:bidi w:val="0"/>
        <w:rPr>
          <w:rFonts w:hint="eastAsia"/>
          <w:lang w:val="en-US" w:eastAsia="zh-CN"/>
        </w:rPr>
      </w:pPr>
      <w:bookmarkStart w:id="12" w:name="_Toc17379"/>
      <w:r>
        <w:rPr>
          <w:rFonts w:hint="eastAsia"/>
          <w:lang w:val="en-US" w:eastAsia="zh-CN"/>
        </w:rPr>
        <w:t>备份岗位设置与备案</w:t>
      </w:r>
      <w:bookmarkEnd w:id="12"/>
    </w:p>
    <w:p>
      <w:pPr>
        <w:pStyle w:val="2"/>
        <w:bidi w:val="0"/>
        <w:rPr>
          <w:rFonts w:hint="eastAsia"/>
          <w:lang w:val="en-US" w:eastAsia="zh-CN"/>
        </w:rPr>
      </w:pPr>
      <w:bookmarkStart w:id="13" w:name="_Toc26935"/>
      <w:r>
        <w:rPr>
          <w:rFonts w:hint="eastAsia"/>
          <w:lang w:val="en-US" w:eastAsia="zh-CN"/>
        </w:rPr>
        <w:t>B角人选标准</w:t>
      </w:r>
      <w:bookmarkEnd w:id="1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B角应优先从以下人员中选择：</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A角的直接下属（具备培养潜力的骨干员工）。</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从事同类或相似工作的同级岗位人员。</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本部门内具备相关知识背景的上级主管。</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人选应具备学习能力强、责任心重、能在较短时间内掌握A角核心工作的能力。</w:t>
      </w:r>
    </w:p>
    <w:p>
      <w:pPr>
        <w:pStyle w:val="2"/>
        <w:bidi w:val="0"/>
        <w:rPr>
          <w:rFonts w:hint="eastAsia"/>
          <w:lang w:val="en-US" w:eastAsia="zh-CN"/>
        </w:rPr>
      </w:pPr>
      <w:bookmarkStart w:id="14" w:name="_Toc22864"/>
      <w:r>
        <w:rPr>
          <w:rFonts w:hint="eastAsia"/>
          <w:lang w:val="en-US" w:eastAsia="zh-CN"/>
        </w:rPr>
        <w:t>备份清单建立与维护流程</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需求提报：各业务部门（运维部、研发部等）梳理本部门关键岗位及建议的B角人选，填写《AB岗设置申请表》。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审核备案：部门负责人审核后，提交至人力资源部。人力资源部汇总形成公司《关键岗位AB角备份清单》，报公司领导批准后生效并备案。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动态更新：清单每年至少复审更新一次。岗位、A角或B角人员发生变动时，相关部门应在5个工作日内完成报备更新。</w:t>
      </w:r>
    </w:p>
    <w:p>
      <w:pPr>
        <w:pStyle w:val="1"/>
        <w:bidi w:val="0"/>
        <w:rPr>
          <w:rFonts w:hint="eastAsia"/>
          <w:lang w:val="en-US" w:eastAsia="zh-CN"/>
        </w:rPr>
      </w:pPr>
      <w:bookmarkStart w:id="15" w:name="_Toc16566"/>
      <w:r>
        <w:rPr>
          <w:rFonts w:hint="eastAsia"/>
          <w:lang w:val="en-US" w:eastAsia="zh-CN"/>
        </w:rPr>
        <w:t>备份触发与执行流程</w:t>
      </w:r>
      <w:bookmarkEnd w:id="15"/>
    </w:p>
    <w:p>
      <w:pPr>
        <w:pStyle w:val="2"/>
        <w:bidi w:val="0"/>
        <w:rPr>
          <w:rFonts w:hint="eastAsia"/>
          <w:lang w:val="en-US" w:eastAsia="zh-CN"/>
        </w:rPr>
      </w:pPr>
      <w:bookmarkStart w:id="16" w:name="_Toc7075"/>
      <w:r>
        <w:rPr>
          <w:rFonts w:hint="eastAsia"/>
          <w:lang w:val="en-US" w:eastAsia="zh-CN"/>
        </w:rPr>
        <w:t>备份触发条件</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当A角出现以下情况之一时，必须启动AB岗备份流程：</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计划内休假（年假、调休等）连续3个工作日（含）以上。</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因公出差、脱产培训预计离岗3个工作日（含）以上。</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病假、事假等意外情况导致突然离岗。</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岗位调动或离职（需结合《工作交接管理办法》执行）。</w:t>
      </w:r>
    </w:p>
    <w:p>
      <w:pPr>
        <w:pStyle w:val="2"/>
        <w:bidi w:val="0"/>
        <w:rPr>
          <w:rFonts w:hint="eastAsia"/>
          <w:lang w:val="en-US" w:eastAsia="zh-CN"/>
        </w:rPr>
      </w:pPr>
      <w:bookmarkStart w:id="17" w:name="_Toc28399"/>
      <w:r>
        <w:rPr>
          <w:rFonts w:hint="eastAsia"/>
          <w:lang w:val="en-US" w:eastAsia="zh-CN"/>
        </w:rPr>
        <w:t>计划内备份流程</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提前通知：A角应在计划离岗前至少3个工作日，正式通知直接上级和B角，明确离岗时间、事由及备份需求。</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工作交接：A角与B角在监督人（直接上级）主持下，依据《人员备份工作交接表》进行工作交接，确保B角清晰了解待办事项、紧急联系人、风险点及处理预案。交接应在离岗前完成。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正式上岗：A角离岗后，B角正式履行A角职责，相关业务联系自动指向B角。B角在工作记录中需明确标注备份履职期间。</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期间支持：A角在离岗期间应保持通讯可联络，以备紧急咨询。重大决策或超权限事项，B角应请示A角的上级主管。</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返岗交接：A角返岗后，B角应就备份期间的重要工作处理情况、待跟进事项向A角进行面对面交接，完成工作闭环。</w:t>
      </w:r>
    </w:p>
    <w:p>
      <w:pPr>
        <w:pStyle w:val="2"/>
        <w:bidi w:val="0"/>
        <w:rPr>
          <w:rFonts w:hint="eastAsia"/>
          <w:lang w:val="en-US" w:eastAsia="zh-CN"/>
        </w:rPr>
      </w:pPr>
      <w:bookmarkStart w:id="18" w:name="_Toc17025"/>
      <w:r>
        <w:rPr>
          <w:rFonts w:hint="eastAsia"/>
          <w:lang w:val="en-US" w:eastAsia="zh-CN"/>
        </w:rPr>
        <w:t>突发情况备份流程</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因紧急情况（如突发疾病、急事）A角无法提前交接的，应立即电话通知直接上级和B角。直接上级应指挥B角立即介入，并尽可能通过电话、远程方式获取A角的关键信息，确保工作不断档。事后应补办交接手续。</w:t>
      </w:r>
    </w:p>
    <w:p>
      <w:pPr>
        <w:pStyle w:val="1"/>
        <w:bidi w:val="0"/>
        <w:rPr>
          <w:rFonts w:hint="eastAsia"/>
          <w:lang w:val="en-US" w:eastAsia="zh-CN"/>
        </w:rPr>
      </w:pPr>
      <w:bookmarkStart w:id="19" w:name="_Toc12883"/>
      <w:r>
        <w:rPr>
          <w:rFonts w:hint="eastAsia"/>
          <w:lang w:val="en-US" w:eastAsia="zh-CN"/>
        </w:rPr>
        <w:t>考核与责任</w:t>
      </w:r>
      <w:bookmarkEnd w:id="19"/>
    </w:p>
    <w:p>
      <w:pPr>
        <w:pStyle w:val="2"/>
        <w:bidi w:val="0"/>
        <w:rPr>
          <w:rFonts w:hint="eastAsia"/>
          <w:lang w:val="en-US" w:eastAsia="zh-CN"/>
        </w:rPr>
      </w:pPr>
      <w:bookmarkStart w:id="20" w:name="_Toc27253"/>
      <w:r>
        <w:rPr>
          <w:rFonts w:hint="eastAsia"/>
          <w:lang w:val="en-US" w:eastAsia="zh-CN"/>
        </w:rPr>
        <w:t>考核机制</w:t>
      </w:r>
      <w:bookmarkEnd w:id="20"/>
    </w:p>
    <w:p>
      <w:pPr>
        <w:pStyle w:val="a1"/>
        <w:bidi w:val="0"/>
        <w:rPr>
          <w:rFonts w:hint="eastAsia"/>
          <w:lang w:val="en-US" w:eastAsia="zh-CN"/>
        </w:rPr>
      </w:pPr>
      <w:r>
        <w:rPr>
          <w:rFonts w:hint="eastAsia"/>
          <w:lang w:val="en-US" w:eastAsia="zh-CN"/>
        </w:rPr>
        <w:t>AB岗备份制度的执行情况，纳入相关部门及人员的年度绩效考核。</w:t>
      </w:r>
    </w:p>
    <w:p>
      <w:pPr>
        <w:pStyle w:val="a1"/>
        <w:bidi w:val="0"/>
        <w:rPr>
          <w:rFonts w:hint="eastAsia"/>
          <w:lang w:val="en-US" w:eastAsia="zh-CN"/>
        </w:rPr>
      </w:pPr>
      <w:r>
        <w:rPr>
          <w:rFonts w:hint="eastAsia"/>
          <w:lang w:val="en-US" w:eastAsia="zh-CN"/>
        </w:rPr>
        <w:t>对主动传授知识、成功培养B角的A角，在绩效考核中给予正向激励。</w:t>
      </w:r>
    </w:p>
    <w:p>
      <w:pPr>
        <w:pStyle w:val="a1"/>
        <w:bidi w:val="0"/>
        <w:rPr>
          <w:rFonts w:hint="eastAsia"/>
          <w:lang w:val="en-US" w:eastAsia="zh-CN"/>
        </w:rPr>
      </w:pPr>
      <w:r>
        <w:rPr>
          <w:rFonts w:hint="eastAsia"/>
          <w:lang w:val="en-US" w:eastAsia="zh-CN"/>
        </w:rPr>
        <w:t>对在备份期间表现出色、有效保障业务连续的B角，给予相应认可与奖励。</w:t>
      </w:r>
    </w:p>
    <w:p>
      <w:pPr>
        <w:pStyle w:val="2"/>
        <w:bidi w:val="0"/>
        <w:rPr>
          <w:rFonts w:hint="eastAsia"/>
          <w:lang w:val="en-US" w:eastAsia="zh-CN"/>
        </w:rPr>
      </w:pPr>
      <w:bookmarkStart w:id="21" w:name="_Toc5560"/>
      <w:r>
        <w:rPr>
          <w:rFonts w:hint="eastAsia"/>
          <w:lang w:val="en-US" w:eastAsia="zh-CN"/>
        </w:rPr>
        <w:t>责任追究</w:t>
      </w:r>
      <w:bookmarkEnd w:id="2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因以下情形导致工作失误、服务中断或客户投诉的，将视情节追究相关人员责任：</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A角责任：未按规定提前通知并交接；离岗期间失联，拒绝提供必要支持；故意隐瞒关键工作信息。</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B角责任：备份期间玩忽职守，未能主动承接工作；未经请示擅自处理超越权限的重大事项；交接不清，造成工作遗漏。</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监督责任：部门负责人未有效组织备份设置、培训与交接；对备份期间发生的问题处置不力。</w:t>
      </w:r>
    </w:p>
    <w:p>
      <w:pPr>
        <w:pStyle w:val="1"/>
        <w:bidi w:val="0"/>
        <w:rPr>
          <w:rFonts w:hint="eastAsia"/>
          <w:lang w:val="en-US" w:eastAsia="zh-CN"/>
        </w:rPr>
      </w:pPr>
      <w:bookmarkStart w:id="22" w:name="_Toc6568"/>
      <w:r>
        <w:rPr>
          <w:rFonts w:hint="eastAsia"/>
          <w:lang w:val="en-US" w:eastAsia="zh-CN"/>
        </w:rPr>
        <w:t>考核指标</w:t>
      </w:r>
      <w:bookmarkEnd w:id="22"/>
    </w:p>
    <w:tbl>
      <w:tblPr>
        <w:tblStyle w:val="TableNormal"/>
        <w:tblW w:w="8504"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771"/>
        <w:gridCol w:w="1680"/>
        <w:gridCol w:w="4127"/>
        <w:gridCol w:w="926"/>
      </w:tblGrid>
      <w:tr>
        <w:tblPrEx>
          <w:tblW w:w="8504"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1771"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1680"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4127"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926"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8504" w:type="dxa"/>
          <w:tblInd w:w="96" w:type="dxa"/>
          <w:shd w:val="clear" w:color="auto" w:fill="auto"/>
          <w:tblCellMar>
            <w:top w:w="0" w:type="dxa"/>
            <w:left w:w="108" w:type="dxa"/>
            <w:bottom w:w="0" w:type="dxa"/>
            <w:right w:w="108" w:type="dxa"/>
          </w:tblCellMar>
        </w:tblPrEx>
        <w:trPr>
          <w:trHeight w:val="493"/>
        </w:trPr>
        <w:tc>
          <w:tcPr>
            <w:tcW w:w="17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eastAsia="宋体" w:hAnsi="宋体" w:cs="宋体" w:hint="eastAsia"/>
                <w:i w:val="0"/>
                <w:iCs w:val="0"/>
                <w:snapToGrid w:val="0"/>
                <w:color w:val="000000"/>
                <w:kern w:val="0"/>
                <w:sz w:val="21"/>
                <w:szCs w:val="21"/>
                <w:u w:val="none"/>
                <w:lang w:val="en-US" w:eastAsia="zh-CN"/>
              </w:rPr>
              <w:t>备份计划达成率</w:t>
            </w:r>
          </w:p>
        </w:tc>
        <w:tc>
          <w:tcPr>
            <w:tcW w:w="168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eastAsia="宋体" w:hAnsi="宋体" w:cs="宋体" w:hint="eastAsia"/>
                <w:i w:val="0"/>
                <w:iCs w:val="0"/>
                <w:snapToGrid w:val="0"/>
                <w:color w:val="000000"/>
                <w:kern w:val="0"/>
                <w:sz w:val="21"/>
                <w:szCs w:val="21"/>
                <w:u w:val="none"/>
                <w:lang w:val="en-US" w:eastAsia="zh-CN"/>
              </w:rPr>
              <w:t>≥95%</w:t>
            </w:r>
          </w:p>
        </w:tc>
        <w:tc>
          <w:tcPr>
            <w:tcW w:w="412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eastAsia="宋体" w:hAnsi="宋体" w:cs="宋体" w:hint="eastAsia"/>
                <w:i w:val="0"/>
                <w:iCs w:val="0"/>
                <w:snapToGrid w:val="0"/>
                <w:color w:val="000000"/>
                <w:kern w:val="0"/>
                <w:sz w:val="21"/>
                <w:szCs w:val="21"/>
                <w:u w:val="none"/>
                <w:lang w:val="en-US" w:eastAsia="zh-CN"/>
              </w:rPr>
              <w:t>实际备份人数/计划备份人数*100%</w:t>
            </w:r>
          </w:p>
        </w:tc>
        <w:tc>
          <w:tcPr>
            <w:tcW w:w="92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hint="default"/>
                <w:lang w:val="en-US" w:eastAsia="zh-CN"/>
              </w:rPr>
            </w:pPr>
            <w:r>
              <w:rPr>
                <w:rFonts w:ascii="宋体" w:eastAsia="宋体" w:hAnsi="宋体" w:cs="宋体" w:hint="eastAsia"/>
                <w:i w:val="0"/>
                <w:iCs w:val="0"/>
                <w:snapToGrid w:val="0"/>
                <w:color w:val="000000"/>
                <w:kern w:val="0"/>
                <w:sz w:val="21"/>
                <w:szCs w:val="21"/>
                <w:u w:val="none"/>
                <w:lang w:val="en-US" w:eastAsia="zh-CN"/>
              </w:rPr>
              <w:t>季度</w:t>
            </w:r>
          </w:p>
        </w:tc>
      </w:tr>
    </w:tbl>
    <w:p>
      <w:pPr>
        <w:pStyle w:val="1"/>
        <w:bidi w:val="0"/>
        <w:rPr>
          <w:rFonts w:hint="eastAsia"/>
          <w:lang w:val="en-US" w:eastAsia="zh-CN"/>
        </w:rPr>
      </w:pPr>
      <w:bookmarkStart w:id="23" w:name="_Toc15011"/>
      <w:r>
        <w:rPr>
          <w:rFonts w:hint="eastAsia"/>
          <w:lang w:val="en-US" w:eastAsia="zh-CN"/>
        </w:rPr>
        <w:t>附则</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本制度由人力资源部协同解释与修订。</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本制度自发布之日起执行。</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附件《人员备份工作交接表》为本制度组成部分</w:t>
      </w:r>
    </w:p>
    <w:sectPr>
      <w:headerReference w:type="default" r:id="rId7"/>
      <w:footerReference w:type="default" r:id="rId8"/>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EDE13DF3"/>
    <w:multiLevelType w:val="singleLevel"/>
    <w:tmpl w:val="EDE13DF3"/>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2290</Words>
  <Characters>2420</Characters>
  <Application>Microsoft Office Word</Application>
  <DocSecurity>0</DocSecurity>
  <Lines>0</Lines>
  <Paragraphs>0</Paragraphs>
  <ScaleCrop>false</ScaleCrop>
  <Company/>
  <LinksUpToDate>false</LinksUpToDate>
  <CharactersWithSpaces>2510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2026-04-24T22:28:24Z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