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3DBFB7">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6701"/>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10">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桐乡华数广电网络有限公司</w:t>
      </w:r>
      <w:bookmarkEnd w:id="0"/>
    </w:p>
    <w:p w14:paraId="3E9E4D43">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1709"/>
      <w:r>
        <w:rPr>
          <w:rFonts w:hint="eastAsia"/>
          <w:lang w:val="en-US" w:eastAsia="zh-CN"/>
        </w:rPr>
        <w:t>人员能力评价管理制度</w:t>
      </w:r>
      <w:bookmarkEnd w:id="1"/>
    </w:p>
    <w:p w14:paraId="5876DE1B">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TXHS</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5</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5</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1769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07431E4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7CE385B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7D9D0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3D6613E">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V1.0</w:t>
            </w:r>
          </w:p>
        </w:tc>
        <w:tc>
          <w:tcPr>
            <w:tcW w:w="2708" w:type="dxa"/>
            <w:shd w:val="clear" w:color="auto" w:fill="auto"/>
          </w:tcPr>
          <w:p w14:paraId="0AB1ABC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6ECD5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3FEA98E6">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吴亚红</w:t>
            </w:r>
          </w:p>
        </w:tc>
        <w:tc>
          <w:tcPr>
            <w:tcW w:w="2708" w:type="dxa"/>
          </w:tcPr>
          <w:p w14:paraId="5E421EA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72A47AC0">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14:paraId="0857F14C">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458098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5611E3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09F0247D">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3BDE898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2CC668DB">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50B5000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32856B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0515E0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shd w:val="clear" w:color="auto" w:fill="auto"/>
          </w:tcPr>
          <w:p w14:paraId="30664C07">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2022.6.20</w:t>
            </w:r>
          </w:p>
        </w:tc>
        <w:tc>
          <w:tcPr>
            <w:tcW w:w="972" w:type="dxa"/>
            <w:shd w:val="clear" w:color="auto" w:fill="auto"/>
          </w:tcPr>
          <w:p w14:paraId="41EDD84A">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V1.0</w:t>
            </w:r>
          </w:p>
        </w:tc>
        <w:tc>
          <w:tcPr>
            <w:tcW w:w="1575" w:type="dxa"/>
            <w:shd w:val="clear" w:color="auto" w:fill="auto"/>
          </w:tcPr>
          <w:p w14:paraId="45F22F4F">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shd w:val="clear" w:color="auto" w:fill="auto"/>
          </w:tcPr>
          <w:p w14:paraId="475980BD">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宋体" w:hAnsi="宋体" w:eastAsia="宋体" w:cs="宋体"/>
                <w:spacing w:val="200"/>
                <w:kern w:val="0"/>
                <w:sz w:val="20"/>
                <w:szCs w:val="20"/>
                <w:lang w:val="en-US" w:eastAsia="zh-CN"/>
              </w:rPr>
              <w:t>平湾</w:t>
            </w:r>
          </w:p>
        </w:tc>
        <w:tc>
          <w:tcPr>
            <w:tcW w:w="1606" w:type="dxa"/>
            <w:shd w:val="clear" w:color="auto" w:fill="auto"/>
          </w:tcPr>
          <w:p w14:paraId="45A91C18">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茅建根</w:t>
            </w:r>
          </w:p>
        </w:tc>
        <w:tc>
          <w:tcPr>
            <w:tcW w:w="915" w:type="dxa"/>
            <w:shd w:val="clear" w:color="auto" w:fill="auto"/>
          </w:tcPr>
          <w:p w14:paraId="33F7C76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吴亚红</w:t>
            </w:r>
          </w:p>
        </w:tc>
      </w:tr>
      <w:tr w14:paraId="227E37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shd w:val="clear" w:color="auto" w:fill="auto"/>
          </w:tcPr>
          <w:p w14:paraId="257C30B8">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en-US" w:bidi="ar-SA"/>
              </w:rPr>
            </w:pPr>
            <w:r>
              <w:rPr>
                <w:rFonts w:ascii="宋体" w:hAnsi="宋体" w:eastAsia="宋体" w:cs="宋体"/>
                <w:spacing w:val="3"/>
                <w:position w:val="1"/>
                <w:sz w:val="20"/>
                <w:szCs w:val="20"/>
              </w:rPr>
              <w:t>2025.1.</w:t>
            </w:r>
            <w:r>
              <w:rPr>
                <w:rFonts w:hint="eastAsia" w:ascii="宋体" w:hAnsi="宋体" w:cs="宋体"/>
                <w:spacing w:val="3"/>
                <w:position w:val="1"/>
                <w:sz w:val="20"/>
                <w:szCs w:val="20"/>
                <w:lang w:val="en-US" w:eastAsia="zh-CN"/>
              </w:rPr>
              <w:t>10</w:t>
            </w:r>
          </w:p>
        </w:tc>
        <w:tc>
          <w:tcPr>
            <w:tcW w:w="972" w:type="dxa"/>
            <w:shd w:val="clear" w:color="auto" w:fill="auto"/>
          </w:tcPr>
          <w:p w14:paraId="29442E3D">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ascii="宋体" w:hAnsi="宋体" w:eastAsia="宋体" w:cs="宋体"/>
                <w:spacing w:val="4"/>
                <w:position w:val="1"/>
                <w:sz w:val="20"/>
                <w:szCs w:val="20"/>
              </w:rPr>
              <w:t>V1.0</w:t>
            </w:r>
          </w:p>
        </w:tc>
        <w:tc>
          <w:tcPr>
            <w:tcW w:w="1575" w:type="dxa"/>
            <w:shd w:val="clear" w:color="auto" w:fill="auto"/>
          </w:tcPr>
          <w:p w14:paraId="5DED3A19">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hint="default" w:ascii="宋体" w:hAnsi="宋体" w:eastAsia="宋体" w:cs="宋体"/>
                <w:snapToGrid w:val="0"/>
                <w:color w:val="000000"/>
                <w:kern w:val="0"/>
                <w:sz w:val="20"/>
                <w:szCs w:val="20"/>
                <w:lang w:val="en-US" w:eastAsia="zh-CN" w:bidi="ar-SA"/>
              </w:rPr>
            </w:pPr>
            <w:r>
              <w:rPr>
                <w:rFonts w:hint="eastAsia" w:ascii="宋体" w:hAnsi="宋体" w:cs="宋体"/>
                <w:snapToGrid w:val="0"/>
                <w:color w:val="000000"/>
                <w:kern w:val="0"/>
                <w:sz w:val="20"/>
                <w:szCs w:val="20"/>
                <w:lang w:val="en-US" w:eastAsia="zh-CN" w:bidi="ar-SA"/>
              </w:rPr>
              <w:t>修改评价内容与标准</w:t>
            </w:r>
          </w:p>
        </w:tc>
        <w:tc>
          <w:tcPr>
            <w:tcW w:w="1829" w:type="dxa"/>
            <w:shd w:val="clear" w:color="auto" w:fill="auto"/>
          </w:tcPr>
          <w:p w14:paraId="159E2A5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宋体" w:hAnsi="宋体" w:eastAsia="宋体" w:cs="宋体"/>
                <w:spacing w:val="200"/>
                <w:kern w:val="0"/>
                <w:sz w:val="20"/>
                <w:szCs w:val="20"/>
                <w:lang w:val="en-US" w:eastAsia="zh-CN"/>
              </w:rPr>
              <w:t>平湾</w:t>
            </w:r>
          </w:p>
        </w:tc>
        <w:tc>
          <w:tcPr>
            <w:tcW w:w="1606" w:type="dxa"/>
            <w:shd w:val="clear" w:color="auto" w:fill="auto"/>
          </w:tcPr>
          <w:p w14:paraId="7EEF3A3C">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spacing w:val="2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茅建根</w:t>
            </w:r>
          </w:p>
        </w:tc>
        <w:tc>
          <w:tcPr>
            <w:tcW w:w="915" w:type="dxa"/>
            <w:shd w:val="clear" w:color="auto" w:fill="auto"/>
          </w:tcPr>
          <w:p w14:paraId="6FE893A5">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napToGrid w:val="0"/>
                <w:color w:val="000000"/>
                <w:kern w:val="0"/>
                <w:sz w:val="20"/>
                <w:szCs w:val="20"/>
                <w:lang w:val="en-US" w:eastAsia="en-US" w:bidi="ar-SA"/>
              </w:rPr>
            </w:pPr>
            <w:r>
              <w:rPr>
                <w:rFonts w:hint="eastAsia" w:asciiTheme="minorAscii" w:hAnsiTheme="minorAscii" w:eastAsiaTheme="minorEastAsia"/>
                <w:spacing w:val="0"/>
                <w:kern w:val="0"/>
                <w:sz w:val="21"/>
                <w:vertAlign w:val="baseline"/>
                <w:lang w:val="en-US" w:eastAsia="zh-CN"/>
              </w:rPr>
              <w:t>吴亚红</w:t>
            </w:r>
          </w:p>
        </w:tc>
      </w:tr>
      <w:tr w14:paraId="511703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82642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46C9987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3ADCDB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44053C8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17B5041">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206D249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8678D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17667E7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1EC8EE4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2114845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AC0D9C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F339EC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4C81B6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58C4E687">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164C17E6">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33DC14A5">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_Toc6701 </w:instrText>
          </w:r>
          <w:r>
            <w:rPr>
              <w:rFonts w:hint="eastAsia" w:ascii="宋体" w:hAnsi="宋体" w:eastAsia="宋体" w:cs="宋体"/>
              <w:szCs w:val="24"/>
            </w:rPr>
            <w:fldChar w:fldCharType="separate"/>
          </w:r>
          <w:r>
            <w:rPr>
              <w:rFonts w:hint="eastAsia"/>
              <w:lang w:val="en-US" w:eastAsia="zh-CN"/>
            </w:rPr>
            <w:t>桐乡华数广电网络有限公司</w:t>
          </w:r>
          <w:r>
            <w:tab/>
          </w:r>
          <w:r>
            <w:fldChar w:fldCharType="begin"/>
          </w:r>
          <w:r>
            <w:instrText xml:space="preserve"> PAGEREF _Toc6701 \h </w:instrText>
          </w:r>
          <w:r>
            <w:fldChar w:fldCharType="separate"/>
          </w:r>
          <w:r>
            <w:t>1</w:t>
          </w:r>
          <w:r>
            <w:fldChar w:fldCharType="end"/>
          </w:r>
          <w:r>
            <w:rPr>
              <w:rFonts w:hint="eastAsia" w:ascii="宋体" w:hAnsi="宋体" w:eastAsia="宋体" w:cs="宋体"/>
              <w:szCs w:val="24"/>
            </w:rPr>
            <w:fldChar w:fldCharType="end"/>
          </w:r>
        </w:p>
        <w:p w14:paraId="387EDA94">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_Toc21709 </w:instrText>
          </w:r>
          <w:r>
            <w:rPr>
              <w:rFonts w:hint="eastAsia" w:ascii="宋体" w:hAnsi="宋体" w:eastAsia="宋体" w:cs="宋体"/>
              <w:szCs w:val="24"/>
            </w:rPr>
            <w:fldChar w:fldCharType="separate"/>
          </w:r>
          <w:r>
            <w:rPr>
              <w:rFonts w:hint="eastAsia"/>
              <w:lang w:val="en-US" w:eastAsia="zh-CN"/>
            </w:rPr>
            <w:t>人员能力评价管理制度</w:t>
          </w:r>
          <w:r>
            <w:tab/>
          </w:r>
          <w:r>
            <w:fldChar w:fldCharType="begin"/>
          </w:r>
          <w:r>
            <w:instrText xml:space="preserve"> PAGEREF _Toc21709 \h </w:instrText>
          </w:r>
          <w:r>
            <w:fldChar w:fldCharType="separate"/>
          </w:r>
          <w:r>
            <w:t>1</w:t>
          </w:r>
          <w:r>
            <w:fldChar w:fldCharType="end"/>
          </w:r>
          <w:r>
            <w:rPr>
              <w:rFonts w:hint="eastAsia" w:ascii="宋体" w:hAnsi="宋体" w:eastAsia="宋体" w:cs="宋体"/>
              <w:szCs w:val="24"/>
            </w:rPr>
            <w:fldChar w:fldCharType="end"/>
          </w:r>
        </w:p>
        <w:p w14:paraId="3FBB127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_Toc16994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总则</w:t>
          </w:r>
          <w:r>
            <w:tab/>
          </w:r>
          <w:r>
            <w:fldChar w:fldCharType="begin"/>
          </w:r>
          <w:r>
            <w:instrText xml:space="preserve"> PAGEREF _Toc16994 \h </w:instrText>
          </w:r>
          <w:r>
            <w:fldChar w:fldCharType="separate"/>
          </w:r>
          <w:r>
            <w:t>4</w:t>
          </w:r>
          <w:r>
            <w:fldChar w:fldCharType="end"/>
          </w:r>
          <w:r>
            <w:rPr>
              <w:rFonts w:hint="eastAsia" w:ascii="宋体" w:hAnsi="宋体" w:eastAsia="宋体" w:cs="宋体"/>
              <w:szCs w:val="24"/>
            </w:rPr>
            <w:fldChar w:fldCharType="end"/>
          </w:r>
        </w:p>
        <w:p w14:paraId="4752B5F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_Toc23667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_Toc23667 \h </w:instrText>
          </w:r>
          <w:r>
            <w:fldChar w:fldCharType="separate"/>
          </w:r>
          <w:r>
            <w:t>4</w:t>
          </w:r>
          <w:r>
            <w:fldChar w:fldCharType="end"/>
          </w:r>
          <w:r>
            <w:rPr>
              <w:rFonts w:hint="eastAsia" w:ascii="宋体" w:hAnsi="宋体" w:eastAsia="宋体" w:cs="宋体"/>
              <w:szCs w:val="24"/>
            </w:rPr>
            <w:fldChar w:fldCharType="end"/>
          </w:r>
        </w:p>
        <w:p w14:paraId="64C9F96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_Toc29759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_Toc29759 \h </w:instrText>
          </w:r>
          <w:r>
            <w:fldChar w:fldCharType="separate"/>
          </w:r>
          <w:r>
            <w:t>4</w:t>
          </w:r>
          <w:r>
            <w:fldChar w:fldCharType="end"/>
          </w:r>
          <w:r>
            <w:rPr>
              <w:rFonts w:hint="eastAsia" w:ascii="宋体" w:hAnsi="宋体" w:eastAsia="宋体" w:cs="宋体"/>
              <w:szCs w:val="24"/>
            </w:rPr>
            <w:fldChar w:fldCharType="end"/>
          </w:r>
        </w:p>
        <w:p w14:paraId="2917C4C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_Toc3988 </w:instrText>
          </w:r>
          <w:r>
            <w:rPr>
              <w:rFonts w:hint="eastAsia" w:ascii="宋体" w:hAnsi="宋体" w:eastAsia="宋体" w:cs="宋体"/>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_Toc3988 \h </w:instrText>
          </w:r>
          <w:r>
            <w:fldChar w:fldCharType="separate"/>
          </w:r>
          <w:r>
            <w:t>4</w:t>
          </w:r>
          <w:r>
            <w:fldChar w:fldCharType="end"/>
          </w:r>
          <w:r>
            <w:rPr>
              <w:rFonts w:hint="eastAsia" w:ascii="宋体" w:hAnsi="宋体" w:eastAsia="宋体" w:cs="宋体"/>
              <w:szCs w:val="24"/>
            </w:rPr>
            <w:fldChar w:fldCharType="end"/>
          </w:r>
        </w:p>
        <w:p w14:paraId="744EAB2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_Toc5981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技能等级体系</w:t>
          </w:r>
          <w:r>
            <w:tab/>
          </w:r>
          <w:r>
            <w:fldChar w:fldCharType="begin"/>
          </w:r>
          <w:r>
            <w:instrText xml:space="preserve"> PAGEREF _Toc5981 \h </w:instrText>
          </w:r>
          <w:r>
            <w:fldChar w:fldCharType="separate"/>
          </w:r>
          <w:r>
            <w:t>4</w:t>
          </w:r>
          <w:r>
            <w:fldChar w:fldCharType="end"/>
          </w:r>
          <w:r>
            <w:rPr>
              <w:rFonts w:hint="eastAsia" w:ascii="宋体" w:hAnsi="宋体" w:eastAsia="宋体" w:cs="宋体"/>
              <w:szCs w:val="24"/>
            </w:rPr>
            <w:fldChar w:fldCharType="end"/>
          </w:r>
        </w:p>
        <w:p w14:paraId="00A0091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_Toc11480 </w:instrText>
          </w:r>
          <w:r>
            <w:rPr>
              <w:rFonts w:hint="eastAsia" w:ascii="宋体" w:hAnsi="宋体" w:eastAsia="宋体" w:cs="宋体"/>
              <w:szCs w:val="24"/>
            </w:rPr>
            <w:fldChar w:fldCharType="separate"/>
          </w:r>
          <w:r>
            <w:rPr>
              <w:rFonts w:hint="default"/>
              <w:lang w:val="en-US" w:eastAsia="zh-CN"/>
            </w:rPr>
            <w:t xml:space="preserve">2.1. </w:t>
          </w:r>
          <w:r>
            <w:rPr>
              <w:rFonts w:hint="eastAsia"/>
              <w:lang w:val="en-US" w:eastAsia="zh-CN"/>
            </w:rPr>
            <w:t>专业序列划分</w:t>
          </w:r>
          <w:r>
            <w:tab/>
          </w:r>
          <w:r>
            <w:fldChar w:fldCharType="begin"/>
          </w:r>
          <w:r>
            <w:instrText xml:space="preserve"> PAGEREF _Toc11480 \h </w:instrText>
          </w:r>
          <w:r>
            <w:fldChar w:fldCharType="separate"/>
          </w:r>
          <w:r>
            <w:t>4</w:t>
          </w:r>
          <w:r>
            <w:fldChar w:fldCharType="end"/>
          </w:r>
          <w:r>
            <w:rPr>
              <w:rFonts w:hint="eastAsia" w:ascii="宋体" w:hAnsi="宋体" w:eastAsia="宋体" w:cs="宋体"/>
              <w:szCs w:val="24"/>
            </w:rPr>
            <w:fldChar w:fldCharType="end"/>
          </w:r>
        </w:p>
        <w:p w14:paraId="68D45C3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_Toc30548 </w:instrText>
          </w:r>
          <w:r>
            <w:rPr>
              <w:rFonts w:hint="eastAsia" w:ascii="宋体" w:hAnsi="宋体" w:eastAsia="宋体" w:cs="宋体"/>
              <w:szCs w:val="24"/>
            </w:rPr>
            <w:fldChar w:fldCharType="separate"/>
          </w:r>
          <w:r>
            <w:rPr>
              <w:rFonts w:hint="default"/>
              <w:lang w:val="en-US" w:eastAsia="zh-CN"/>
            </w:rPr>
            <w:t xml:space="preserve">2.2. </w:t>
          </w:r>
          <w:r>
            <w:rPr>
              <w:rFonts w:hint="eastAsia"/>
              <w:lang w:val="en-US" w:eastAsia="zh-CN"/>
            </w:rPr>
            <w:t>技能等级定义</w:t>
          </w:r>
          <w:r>
            <w:tab/>
          </w:r>
          <w:r>
            <w:fldChar w:fldCharType="begin"/>
          </w:r>
          <w:r>
            <w:instrText xml:space="preserve"> PAGEREF _Toc30548 \h </w:instrText>
          </w:r>
          <w:r>
            <w:fldChar w:fldCharType="separate"/>
          </w:r>
          <w:r>
            <w:t>4</w:t>
          </w:r>
          <w:r>
            <w:fldChar w:fldCharType="end"/>
          </w:r>
          <w:r>
            <w:rPr>
              <w:rFonts w:hint="eastAsia" w:ascii="宋体" w:hAnsi="宋体" w:eastAsia="宋体" w:cs="宋体"/>
              <w:szCs w:val="24"/>
            </w:rPr>
            <w:fldChar w:fldCharType="end"/>
          </w:r>
        </w:p>
        <w:p w14:paraId="08A8653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_Toc707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管理职责</w:t>
          </w:r>
          <w:r>
            <w:tab/>
          </w:r>
          <w:r>
            <w:fldChar w:fldCharType="begin"/>
          </w:r>
          <w:r>
            <w:instrText xml:space="preserve"> PAGEREF _Toc707 \h </w:instrText>
          </w:r>
          <w:r>
            <w:fldChar w:fldCharType="separate"/>
          </w:r>
          <w:r>
            <w:t>5</w:t>
          </w:r>
          <w:r>
            <w:fldChar w:fldCharType="end"/>
          </w:r>
          <w:r>
            <w:rPr>
              <w:rFonts w:hint="eastAsia" w:ascii="宋体" w:hAnsi="宋体" w:eastAsia="宋体" w:cs="宋体"/>
              <w:szCs w:val="24"/>
            </w:rPr>
            <w:fldChar w:fldCharType="end"/>
          </w:r>
        </w:p>
        <w:p w14:paraId="776C41CB">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_Toc15552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人力资源部</w:t>
          </w:r>
          <w:r>
            <w:tab/>
          </w:r>
          <w:r>
            <w:fldChar w:fldCharType="begin"/>
          </w:r>
          <w:r>
            <w:instrText xml:space="preserve"> PAGEREF _Toc15552 \h </w:instrText>
          </w:r>
          <w:r>
            <w:fldChar w:fldCharType="separate"/>
          </w:r>
          <w:r>
            <w:t>5</w:t>
          </w:r>
          <w:r>
            <w:fldChar w:fldCharType="end"/>
          </w:r>
          <w:r>
            <w:rPr>
              <w:rFonts w:hint="eastAsia" w:ascii="宋体" w:hAnsi="宋体" w:eastAsia="宋体" w:cs="宋体"/>
              <w:szCs w:val="24"/>
            </w:rPr>
            <w:fldChar w:fldCharType="end"/>
          </w:r>
        </w:p>
        <w:p w14:paraId="2758B7B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_Toc25375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运维相关部门</w:t>
          </w:r>
          <w:r>
            <w:tab/>
          </w:r>
          <w:r>
            <w:fldChar w:fldCharType="begin"/>
          </w:r>
          <w:r>
            <w:instrText xml:space="preserve"> PAGEREF _Toc25375 \h </w:instrText>
          </w:r>
          <w:r>
            <w:fldChar w:fldCharType="separate"/>
          </w:r>
          <w:r>
            <w:t>5</w:t>
          </w:r>
          <w:r>
            <w:fldChar w:fldCharType="end"/>
          </w:r>
          <w:r>
            <w:rPr>
              <w:rFonts w:hint="eastAsia" w:ascii="宋体" w:hAnsi="宋体" w:eastAsia="宋体" w:cs="宋体"/>
              <w:szCs w:val="24"/>
            </w:rPr>
            <w:fldChar w:fldCharType="end"/>
          </w:r>
        </w:p>
        <w:p w14:paraId="25E332CC">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_Toc30574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公司管理层</w:t>
          </w:r>
          <w:r>
            <w:tab/>
          </w:r>
          <w:r>
            <w:fldChar w:fldCharType="begin"/>
          </w:r>
          <w:r>
            <w:instrText xml:space="preserve"> PAGEREF _Toc30574 \h </w:instrText>
          </w:r>
          <w:r>
            <w:fldChar w:fldCharType="separate"/>
          </w:r>
          <w:r>
            <w:t>6</w:t>
          </w:r>
          <w:r>
            <w:fldChar w:fldCharType="end"/>
          </w:r>
          <w:r>
            <w:rPr>
              <w:rFonts w:hint="eastAsia" w:ascii="宋体" w:hAnsi="宋体" w:eastAsia="宋体" w:cs="宋体"/>
              <w:szCs w:val="24"/>
            </w:rPr>
            <w:fldChar w:fldCharType="end"/>
          </w:r>
        </w:p>
        <w:p w14:paraId="764A43C6">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_Toc22250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评价周期与流程</w:t>
          </w:r>
          <w:r>
            <w:tab/>
          </w:r>
          <w:r>
            <w:fldChar w:fldCharType="begin"/>
          </w:r>
          <w:r>
            <w:instrText xml:space="preserve"> PAGEREF _Toc22250 \h </w:instrText>
          </w:r>
          <w:r>
            <w:fldChar w:fldCharType="separate"/>
          </w:r>
          <w:r>
            <w:t>6</w:t>
          </w:r>
          <w:r>
            <w:fldChar w:fldCharType="end"/>
          </w:r>
          <w:r>
            <w:rPr>
              <w:rFonts w:hint="eastAsia" w:ascii="宋体" w:hAnsi="宋体" w:eastAsia="宋体" w:cs="宋体"/>
              <w:szCs w:val="24"/>
            </w:rPr>
            <w:fldChar w:fldCharType="end"/>
          </w:r>
        </w:p>
        <w:p w14:paraId="08568C0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_Toc2859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评价周期</w:t>
          </w:r>
          <w:r>
            <w:tab/>
          </w:r>
          <w:r>
            <w:fldChar w:fldCharType="begin"/>
          </w:r>
          <w:r>
            <w:instrText xml:space="preserve"> PAGEREF _Toc2859 \h </w:instrText>
          </w:r>
          <w:r>
            <w:fldChar w:fldCharType="separate"/>
          </w:r>
          <w:r>
            <w:t>6</w:t>
          </w:r>
          <w:r>
            <w:fldChar w:fldCharType="end"/>
          </w:r>
          <w:r>
            <w:rPr>
              <w:rFonts w:hint="eastAsia" w:ascii="宋体" w:hAnsi="宋体" w:eastAsia="宋体" w:cs="宋体"/>
              <w:szCs w:val="24"/>
            </w:rPr>
            <w:fldChar w:fldCharType="end"/>
          </w:r>
        </w:p>
        <w:p w14:paraId="75C3D88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_Toc15994 </w:instrText>
          </w:r>
          <w:r>
            <w:rPr>
              <w:rFonts w:hint="eastAsia" w:ascii="宋体" w:hAnsi="宋体" w:eastAsia="宋体" w:cs="宋体"/>
              <w:szCs w:val="24"/>
            </w:rPr>
            <w:fldChar w:fldCharType="separate"/>
          </w:r>
          <w:r>
            <w:rPr>
              <w:rFonts w:hint="default"/>
              <w:lang w:val="en-US" w:eastAsia="zh-CN"/>
            </w:rPr>
            <w:t xml:space="preserve">4.2. </w:t>
          </w:r>
          <w:r>
            <w:rPr>
              <w:rFonts w:hint="eastAsia"/>
              <w:lang w:val="en-US" w:eastAsia="zh-CN"/>
            </w:rPr>
            <w:t>评价流程</w:t>
          </w:r>
          <w:r>
            <w:tab/>
          </w:r>
          <w:r>
            <w:fldChar w:fldCharType="begin"/>
          </w:r>
          <w:r>
            <w:instrText xml:space="preserve"> PAGEREF _Toc15994 \h </w:instrText>
          </w:r>
          <w:r>
            <w:fldChar w:fldCharType="separate"/>
          </w:r>
          <w:r>
            <w:t>6</w:t>
          </w:r>
          <w:r>
            <w:fldChar w:fldCharType="end"/>
          </w:r>
          <w:r>
            <w:rPr>
              <w:rFonts w:hint="eastAsia" w:ascii="宋体" w:hAnsi="宋体" w:eastAsia="宋体" w:cs="宋体"/>
              <w:szCs w:val="24"/>
            </w:rPr>
            <w:fldChar w:fldCharType="end"/>
          </w:r>
        </w:p>
        <w:p w14:paraId="10BB5BFF">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_Toc7108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评价内容与标准</w:t>
          </w:r>
          <w:r>
            <w:tab/>
          </w:r>
          <w:r>
            <w:fldChar w:fldCharType="begin"/>
          </w:r>
          <w:r>
            <w:instrText xml:space="preserve"> PAGEREF _Toc7108 \h </w:instrText>
          </w:r>
          <w:r>
            <w:fldChar w:fldCharType="separate"/>
          </w:r>
          <w:r>
            <w:t>7</w:t>
          </w:r>
          <w:r>
            <w:fldChar w:fldCharType="end"/>
          </w:r>
          <w:r>
            <w:rPr>
              <w:rFonts w:hint="eastAsia" w:ascii="宋体" w:hAnsi="宋体" w:eastAsia="宋体" w:cs="宋体"/>
              <w:szCs w:val="24"/>
            </w:rPr>
            <w:fldChar w:fldCharType="end"/>
          </w:r>
        </w:p>
        <w:p w14:paraId="1062B1F0">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_Toc10228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履历评审维度（30%）</w:t>
          </w:r>
          <w:r>
            <w:tab/>
          </w:r>
          <w:r>
            <w:fldChar w:fldCharType="begin"/>
          </w:r>
          <w:r>
            <w:instrText xml:space="preserve"> PAGEREF _Toc10228 \h </w:instrText>
          </w:r>
          <w:r>
            <w:fldChar w:fldCharType="separate"/>
          </w:r>
          <w:r>
            <w:t>7</w:t>
          </w:r>
          <w:r>
            <w:fldChar w:fldCharType="end"/>
          </w:r>
          <w:r>
            <w:rPr>
              <w:rFonts w:hint="eastAsia" w:ascii="宋体" w:hAnsi="宋体" w:eastAsia="宋体" w:cs="宋体"/>
              <w:szCs w:val="24"/>
            </w:rPr>
            <w:fldChar w:fldCharType="end"/>
          </w:r>
        </w:p>
        <w:p w14:paraId="14D64A5E">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_Toc14895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能力答辩维度（70%）</w:t>
          </w:r>
          <w:r>
            <w:tab/>
          </w:r>
          <w:r>
            <w:fldChar w:fldCharType="begin"/>
          </w:r>
          <w:r>
            <w:instrText xml:space="preserve"> PAGEREF _Toc14895 \h </w:instrText>
          </w:r>
          <w:r>
            <w:fldChar w:fldCharType="separate"/>
          </w:r>
          <w:r>
            <w:t>7</w:t>
          </w:r>
          <w:r>
            <w:fldChar w:fldCharType="end"/>
          </w:r>
          <w:r>
            <w:rPr>
              <w:rFonts w:hint="eastAsia" w:ascii="宋体" w:hAnsi="宋体" w:eastAsia="宋体" w:cs="宋体"/>
              <w:szCs w:val="24"/>
            </w:rPr>
            <w:fldChar w:fldCharType="end"/>
          </w:r>
        </w:p>
        <w:p w14:paraId="0252D793">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_Toc13897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考核指标</w:t>
          </w:r>
          <w:r>
            <w:tab/>
          </w:r>
          <w:r>
            <w:fldChar w:fldCharType="begin"/>
          </w:r>
          <w:r>
            <w:instrText xml:space="preserve"> PAGEREF _Toc13897 \h </w:instrText>
          </w:r>
          <w:r>
            <w:fldChar w:fldCharType="separate"/>
          </w:r>
          <w:r>
            <w:t>7</w:t>
          </w:r>
          <w:r>
            <w:fldChar w:fldCharType="end"/>
          </w:r>
          <w:r>
            <w:rPr>
              <w:rFonts w:hint="eastAsia" w:ascii="宋体" w:hAnsi="宋体" w:eastAsia="宋体" w:cs="宋体"/>
              <w:szCs w:val="24"/>
            </w:rPr>
            <w:fldChar w:fldCharType="end"/>
          </w:r>
        </w:p>
        <w:p w14:paraId="213682A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_Toc25607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附则</w:t>
          </w:r>
          <w:r>
            <w:tab/>
          </w:r>
          <w:r>
            <w:fldChar w:fldCharType="begin"/>
          </w:r>
          <w:r>
            <w:instrText xml:space="preserve"> PAGEREF _Toc25607 \h </w:instrText>
          </w:r>
          <w:r>
            <w:fldChar w:fldCharType="separate"/>
          </w:r>
          <w:r>
            <w:t>7</w:t>
          </w:r>
          <w:r>
            <w:fldChar w:fldCharType="end"/>
          </w:r>
          <w:r>
            <w:rPr>
              <w:rFonts w:hint="eastAsia" w:ascii="宋体" w:hAnsi="宋体" w:eastAsia="宋体" w:cs="宋体"/>
              <w:szCs w:val="24"/>
            </w:rPr>
            <w:fldChar w:fldCharType="end"/>
          </w:r>
        </w:p>
        <w:p w14:paraId="46573247">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D708CEE">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131DBC27">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 w:name="_Toc16994"/>
      <w:r>
        <w:rPr>
          <w:rFonts w:hint="eastAsia"/>
          <w:lang w:val="en-US" w:eastAsia="zh-CN"/>
        </w:rPr>
        <w:t>总则</w:t>
      </w:r>
      <w:bookmarkEnd w:id="2"/>
    </w:p>
    <w:p w14:paraId="7FD833B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3" w:name="_Toc23667"/>
      <w:r>
        <w:rPr>
          <w:rFonts w:hint="eastAsia"/>
          <w:lang w:val="en-US" w:eastAsia="zh-CN"/>
        </w:rPr>
        <w:t>目的</w:t>
      </w:r>
      <w:bookmarkEnd w:id="3"/>
    </w:p>
    <w:p w14:paraId="65F4F480">
      <w:pPr>
        <w:pStyle w:val="29"/>
        <w:bidi w:val="0"/>
        <w:rPr>
          <w:rFonts w:hint="eastAsia"/>
          <w:lang w:val="en-US" w:eastAsia="zh-CN"/>
        </w:rPr>
      </w:pPr>
      <w:r>
        <w:rPr>
          <w:rFonts w:hint="eastAsia"/>
          <w:lang w:val="en-US" w:eastAsia="zh-CN"/>
        </w:rPr>
        <w:t>为建立科学、公正的员工技能评价与职业发展体系，畅通专业技术人才发展通道，激励员工持续提升运维服务专业技能与综合素质，支撑公司业务发展对人才的需求，特制定本制度。</w:t>
      </w:r>
    </w:p>
    <w:p w14:paraId="3385227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 w:name="_Toc29759"/>
      <w:r>
        <w:rPr>
          <w:rFonts w:hint="eastAsia"/>
          <w:lang w:val="en-US" w:eastAsia="zh-CN"/>
        </w:rPr>
        <w:t>适用范围</w:t>
      </w:r>
      <w:bookmarkEnd w:id="4"/>
    </w:p>
    <w:p w14:paraId="7CA4CC25">
      <w:pPr>
        <w:pStyle w:val="29"/>
        <w:bidi w:val="0"/>
        <w:rPr>
          <w:rFonts w:hint="eastAsia"/>
          <w:lang w:val="en-US" w:eastAsia="zh-CN"/>
        </w:rPr>
      </w:pPr>
      <w:r>
        <w:rPr>
          <w:rFonts w:hint="eastAsia"/>
          <w:lang w:val="en-US" w:eastAsia="zh-CN"/>
        </w:rPr>
        <w:t>本制度适用于公司所有从事运维服务及相关技术工作的专业岗位员工。管理岗位的晋升评价依据干部管理相关规定执行。</w:t>
      </w:r>
    </w:p>
    <w:p w14:paraId="1DD1B00D">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 w:name="_Toc3988"/>
      <w:r>
        <w:rPr>
          <w:rFonts w:hint="eastAsia"/>
          <w:lang w:val="en-US" w:eastAsia="zh-CN"/>
        </w:rPr>
        <w:t>原则</w:t>
      </w:r>
      <w:bookmarkEnd w:id="5"/>
    </w:p>
    <w:p w14:paraId="0C71668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公开公平原则：评价标准、流程、结果公开透明，确保机会公平。</w:t>
      </w:r>
    </w:p>
    <w:p w14:paraId="5946765E">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能力导向原则：以岗位所需核心能力及实际贡献为主要评价依据。</w:t>
      </w:r>
    </w:p>
    <w:p w14:paraId="0C51272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动态发展原则：评价与等级实行动态管理，能上能下，鼓励持续进步。</w:t>
      </w:r>
    </w:p>
    <w:p w14:paraId="02A4DBB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业务结合原则：技能等级与薪酬激励、培训发展、项目任用等紧密结合。</w:t>
      </w:r>
    </w:p>
    <w:p w14:paraId="7E5AF92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 w:name="_Toc5981"/>
      <w:r>
        <w:rPr>
          <w:rFonts w:hint="eastAsia"/>
          <w:lang w:val="en-US" w:eastAsia="zh-CN"/>
        </w:rPr>
        <w:t>技能等级体系</w:t>
      </w:r>
      <w:bookmarkEnd w:id="6"/>
    </w:p>
    <w:p w14:paraId="305B5AD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 w:name="_Toc11480"/>
      <w:r>
        <w:rPr>
          <w:rFonts w:hint="eastAsia"/>
          <w:lang w:val="en-US" w:eastAsia="zh-CN"/>
        </w:rPr>
        <w:t>专业序列划分</w:t>
      </w:r>
      <w:bookmarkEnd w:id="7"/>
    </w:p>
    <w:p w14:paraId="3D842B63">
      <w:pPr>
        <w:pStyle w:val="29"/>
        <w:bidi w:val="0"/>
        <w:rPr>
          <w:rFonts w:hint="eastAsia"/>
          <w:lang w:val="en-US" w:eastAsia="zh-CN"/>
        </w:rPr>
      </w:pPr>
      <w:r>
        <w:rPr>
          <w:rFonts w:hint="eastAsia"/>
          <w:lang w:val="en-US" w:eastAsia="zh-CN"/>
        </w:rPr>
        <w:t>根据公司业务特点，设立以下专业发展序列，各序列内设置从低到高的技能等级：</w:t>
      </w:r>
    </w:p>
    <w:p w14:paraId="53BB0F67">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技术运维序列：主要面向运维部、研发部等部门的一线运维、技术支持、系统研发等岗位。</w:t>
      </w:r>
    </w:p>
    <w:p w14:paraId="1237235E">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质量管理序列：主要面向质量管理部、应急管理部等部门的质量保证、流程改进、风险管控等岗位。</w:t>
      </w:r>
    </w:p>
    <w:p w14:paraId="3CFA664A">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8" w:name="_Toc30548"/>
      <w:r>
        <w:rPr>
          <w:rFonts w:hint="eastAsia"/>
          <w:lang w:val="en-US" w:eastAsia="zh-CN"/>
        </w:rPr>
        <w:t>技能等级定义</w:t>
      </w:r>
      <w:bookmarkEnd w:id="8"/>
    </w:p>
    <w:p w14:paraId="6BCC2399">
      <w:pPr>
        <w:pStyle w:val="29"/>
        <w:bidi w:val="0"/>
        <w:rPr>
          <w:rFonts w:hint="eastAsia"/>
          <w:lang w:val="en-US" w:eastAsia="zh-CN"/>
        </w:rPr>
      </w:pPr>
      <w:r>
        <w:rPr>
          <w:rFonts w:hint="eastAsia"/>
          <w:lang w:val="en-US" w:eastAsia="zh-CN"/>
        </w:rPr>
        <w:t>各专业序列的技能等级分为初级（T1）、中级（T2）、高级（T3）、专家（T4）、资深专家（T5）五个级别。各级别核心定义如下：</w:t>
      </w:r>
    </w:p>
    <w:p w14:paraId="26DC686E">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T1 初级：能够在指导下完成常规、标准化的运维或质量工作任务。</w:t>
      </w:r>
    </w:p>
    <w:p w14:paraId="04AC7DD0">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T2 中级：能独立负责某一领域或模块的工作，具备初步的问题分析与解决能力。</w:t>
      </w:r>
    </w:p>
    <w:p w14:paraId="33E8BAE7">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T3 高级：能独立负责复杂任务或小型项目，具备技术攻坚和指导初级员工的能力。</w:t>
      </w:r>
    </w:p>
    <w:p w14:paraId="43124A31">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T4 专家：在特定技术或业务领域有深厚积累，能主导关键技术方案设计与难题攻关，对业务有显著影响。</w:t>
      </w:r>
    </w:p>
    <w:p w14:paraId="6E36FDA6">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T5 资深专家：公司级技术/业务权威，能规划领域技术方向，解决战略性复杂问题，行业内有较高知名度。</w:t>
      </w:r>
    </w:p>
    <w:p w14:paraId="2B398A21">
      <w:pPr>
        <w:pStyle w:val="29"/>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（注：各序列具体等级任职资格标准由人力资源部会同业务部门另行制定细则。）</w:t>
      </w:r>
    </w:p>
    <w:p w14:paraId="74FD2AB2">
      <w:pPr>
        <w:pStyle w:val="28"/>
        <w:bidi w:val="0"/>
        <w:rPr>
          <w:rFonts w:hint="eastAsia"/>
          <w:lang w:val="en-US" w:eastAsia="zh-CN"/>
        </w:rPr>
      </w:pPr>
      <w:bookmarkStart w:id="9" w:name="_Toc707"/>
      <w:r>
        <w:rPr>
          <w:rFonts w:hint="eastAsia"/>
          <w:lang w:val="en-US" w:eastAsia="zh-CN"/>
        </w:rPr>
        <w:t>管理职责</w:t>
      </w:r>
      <w:bookmarkEnd w:id="9"/>
    </w:p>
    <w:p w14:paraId="5BC1D460">
      <w:pPr>
        <w:pStyle w:val="30"/>
        <w:bidi w:val="0"/>
        <w:rPr>
          <w:rFonts w:hint="eastAsia"/>
          <w:lang w:val="en-US" w:eastAsia="zh-CN"/>
        </w:rPr>
      </w:pPr>
      <w:bookmarkStart w:id="10" w:name="_Toc15552"/>
      <w:r>
        <w:rPr>
          <w:rFonts w:hint="eastAsia"/>
          <w:lang w:val="en-US" w:eastAsia="zh-CN"/>
        </w:rPr>
        <w:t>人力资源部</w:t>
      </w:r>
      <w:bookmarkEnd w:id="10"/>
    </w:p>
    <w:p w14:paraId="6AAD46F8">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负责本制度的制定、修订、解释与宣传。</w:t>
      </w:r>
    </w:p>
    <w:p w14:paraId="12562188">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负责组织年度或定期技能评价工作的具体实施，包括发布通知、接收申请、组织评审会议等。</w:t>
      </w:r>
    </w:p>
    <w:p w14:paraId="54C385A2">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负责组建针对每次评价的临时评审小组，并牵头开展综合评价。</w:t>
      </w:r>
    </w:p>
    <w:p w14:paraId="71CF9F76">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负责评价结果的归档、应用、反馈及与薪酬福利的对接。</w:t>
      </w:r>
    </w:p>
    <w:p w14:paraId="29C79D5B">
      <w:pPr>
        <w:pStyle w:val="30"/>
        <w:bidi w:val="0"/>
        <w:rPr>
          <w:rFonts w:hint="eastAsia"/>
          <w:lang w:val="en-US" w:eastAsia="zh-CN"/>
        </w:rPr>
      </w:pPr>
      <w:bookmarkStart w:id="11" w:name="_Toc25375"/>
      <w:r>
        <w:rPr>
          <w:rFonts w:hint="eastAsia"/>
          <w:lang w:val="en-US" w:eastAsia="zh-CN"/>
        </w:rPr>
        <w:t>运维相关部门</w:t>
      </w:r>
      <w:bookmarkEnd w:id="11"/>
    </w:p>
    <w:p w14:paraId="738810C1">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负责依据制度向员工宣贯技能发展路径，并参与制定和细化本序列任职资格标准。</w:t>
      </w:r>
    </w:p>
    <w:p w14:paraId="5E004645">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负责客观、公正地推荐参评人员，审核申请材料并提供专业的业绩证明与初步评估意见。</w:t>
      </w:r>
    </w:p>
    <w:p w14:paraId="69ECFDF0">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根据人力资源部安排，指派部门内高级别技术或业务专家参与具体评审工作。</w:t>
      </w:r>
    </w:p>
    <w:p w14:paraId="6E609E7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负责落实评价结果，在项目安排、任务分配及员工培养中应用技能等级。</w:t>
      </w:r>
    </w:p>
    <w:p w14:paraId="2F48F305">
      <w:pPr>
        <w:pStyle w:val="30"/>
        <w:bidi w:val="0"/>
        <w:rPr>
          <w:rFonts w:hint="eastAsia"/>
          <w:lang w:val="en-US" w:eastAsia="zh-CN"/>
        </w:rPr>
      </w:pPr>
      <w:bookmarkStart w:id="12" w:name="_Toc30574"/>
      <w:r>
        <w:rPr>
          <w:rFonts w:hint="eastAsia"/>
          <w:lang w:val="en-US" w:eastAsia="zh-CN"/>
        </w:rPr>
        <w:t>公司管理层</w:t>
      </w:r>
      <w:bookmarkEnd w:id="12"/>
    </w:p>
    <w:p w14:paraId="5AA46533">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负责审批最终的技能等级晋升名单。</w:t>
      </w:r>
    </w:p>
    <w:p w14:paraId="084B5F9A">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对评价过程中的重大事项或争议进行裁决。</w:t>
      </w:r>
    </w:p>
    <w:p w14:paraId="1B0F1E7B">
      <w:pPr>
        <w:pStyle w:val="28"/>
        <w:bidi w:val="0"/>
        <w:rPr>
          <w:rFonts w:hint="eastAsia"/>
          <w:lang w:val="en-US" w:eastAsia="zh-CN"/>
        </w:rPr>
      </w:pPr>
      <w:bookmarkStart w:id="13" w:name="_Toc22250"/>
      <w:r>
        <w:rPr>
          <w:rFonts w:hint="eastAsia"/>
          <w:lang w:val="en-US" w:eastAsia="zh-CN"/>
        </w:rPr>
        <w:t>评价周期与流程</w:t>
      </w:r>
      <w:bookmarkEnd w:id="13"/>
    </w:p>
    <w:p w14:paraId="7A66C7B8">
      <w:pPr>
        <w:pStyle w:val="30"/>
        <w:bidi w:val="0"/>
        <w:rPr>
          <w:rFonts w:hint="eastAsia"/>
          <w:lang w:val="en-US" w:eastAsia="zh-CN"/>
        </w:rPr>
      </w:pPr>
      <w:bookmarkStart w:id="14" w:name="_Toc2859"/>
      <w:r>
        <w:rPr>
          <w:rFonts w:hint="eastAsia"/>
          <w:lang w:val="en-US" w:eastAsia="zh-CN"/>
        </w:rPr>
        <w:t>评价周期</w:t>
      </w:r>
      <w:bookmarkEnd w:id="14"/>
    </w:p>
    <w:p w14:paraId="67BB08BD">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常规评价：每年组织一次集中评价。</w:t>
      </w:r>
    </w:p>
    <w:p w14:paraId="03D54509">
      <w:pPr>
        <w:pStyle w:val="29"/>
        <w:keepNext w:val="0"/>
        <w:keepLines w:val="0"/>
        <w:pageBreakBefore w:val="0"/>
        <w:widowControl w:val="0"/>
        <w:numPr>
          <w:ilvl w:val="0"/>
          <w:numId w:val="0"/>
        </w:numPr>
        <w:kinsoku w:val="0"/>
        <w:wordWrap/>
        <w:overflowPunct/>
        <w:topLinePunct w:val="0"/>
        <w:autoSpaceDE w:val="0"/>
        <w:autoSpaceDN w:val="0"/>
        <w:bidi w:val="0"/>
        <w:adjustRightInd w:val="0"/>
        <w:snapToGrid w:val="0"/>
        <w:ind w:left="420" w:leftChars="200"/>
        <w:textAlignment w:val="baseline"/>
        <w:rPr>
          <w:rFonts w:hint="eastAsia"/>
          <w:lang w:val="en-US" w:eastAsia="zh-CN"/>
        </w:rPr>
      </w:pPr>
      <w:r>
        <w:rPr>
          <w:rFonts w:hint="eastAsia"/>
          <w:lang w:val="en-US" w:eastAsia="zh-CN"/>
        </w:rPr>
        <w:t>破格评价：对于有突出贡献或重大技术突破的员工，可经部门推荐、公司批准后启动特殊评价程序。</w:t>
      </w:r>
    </w:p>
    <w:p w14:paraId="0FD6B65F">
      <w:pPr>
        <w:pStyle w:val="30"/>
        <w:bidi w:val="0"/>
        <w:rPr>
          <w:rFonts w:hint="eastAsia"/>
          <w:lang w:val="en-US" w:eastAsia="zh-CN"/>
        </w:rPr>
      </w:pPr>
      <w:bookmarkStart w:id="15" w:name="_Toc15994"/>
      <w:r>
        <w:rPr>
          <w:rFonts w:hint="eastAsia"/>
          <w:lang w:val="en-US" w:eastAsia="zh-CN"/>
        </w:rPr>
        <w:t>评价流程</w:t>
      </w:r>
      <w:bookmarkEnd w:id="15"/>
    </w:p>
    <w:p w14:paraId="1B8413ED">
      <w:pPr>
        <w:pStyle w:val="29"/>
        <w:numPr>
          <w:ilvl w:val="0"/>
          <w:numId w:val="4"/>
        </w:numPr>
        <w:ind w:left="425" w:leftChars="0" w:hanging="425" w:firstLineChars="0"/>
        <w:rPr>
          <w:rFonts w:hint="eastAsia"/>
          <w:lang w:val="en-US" w:eastAsia="zh-CN"/>
        </w:rPr>
      </w:pPr>
      <w:r>
        <w:rPr>
          <w:rFonts w:hint="eastAsia"/>
          <w:lang w:val="en-US" w:eastAsia="zh-CN"/>
        </w:rPr>
        <w:t>启动与申请：人力资源部发布评价通知。员工依据现有等级及能力现状，填写《技能等级晋升申请表》，并附上相关证明材料，经直接上级及部门负责人审核推荐后提交至人力资源部。</w:t>
      </w:r>
    </w:p>
    <w:p w14:paraId="1D12079E">
      <w:pPr>
        <w:pStyle w:val="29"/>
        <w:numPr>
          <w:ilvl w:val="0"/>
          <w:numId w:val="4"/>
        </w:numPr>
        <w:ind w:left="425" w:leftChars="0" w:hanging="425" w:firstLineChars="0"/>
        <w:rPr>
          <w:rFonts w:hint="eastAsia"/>
          <w:lang w:val="en-US" w:eastAsia="zh-CN"/>
        </w:rPr>
      </w:pPr>
      <w:r>
        <w:rPr>
          <w:rFonts w:hint="eastAsia"/>
          <w:lang w:val="en-US" w:eastAsia="zh-CN"/>
        </w:rPr>
        <w:t>资格审查：人力资源部联合相关业务部门对申请人的基本条件（如司龄、当前绩效等级、项目经历等）进行审查。</w:t>
      </w:r>
    </w:p>
    <w:p w14:paraId="2DB6F1D1">
      <w:pPr>
        <w:pStyle w:val="29"/>
        <w:numPr>
          <w:ilvl w:val="0"/>
          <w:numId w:val="4"/>
        </w:numPr>
        <w:ind w:left="425" w:leftChars="0" w:hanging="425" w:firstLineChars="0"/>
        <w:rPr>
          <w:rFonts w:hint="eastAsia"/>
          <w:lang w:val="en-US" w:eastAsia="zh-CN"/>
        </w:rPr>
      </w:pPr>
      <w:r>
        <w:rPr>
          <w:rFonts w:hint="eastAsia"/>
          <w:lang w:val="en-US" w:eastAsia="zh-CN"/>
        </w:rPr>
        <w:t>综合评价：人力资源部牵头组织综合评价，采取“履历评审”与“能力评议”相结合的方式。</w:t>
      </w:r>
    </w:p>
    <w:p w14:paraId="6AB10C55">
      <w:pPr>
        <w:pStyle w:val="29"/>
        <w:numPr>
          <w:ilvl w:val="0"/>
          <w:numId w:val="5"/>
        </w:numPr>
        <w:ind w:left="845" w:leftChars="0" w:hanging="425" w:firstLineChars="0"/>
        <w:rPr>
          <w:rFonts w:hint="eastAsia"/>
          <w:lang w:val="en-US" w:eastAsia="zh-CN"/>
        </w:rPr>
      </w:pPr>
      <w:r>
        <w:rPr>
          <w:rFonts w:hint="eastAsia"/>
          <w:lang w:val="en-US" w:eastAsia="zh-CN"/>
        </w:rPr>
        <w:t>履历评审（权重30%）：由人力资源部与业务部门代表组成工作小组，基于申请人材料，对照标准进行量化评分。</w:t>
      </w:r>
    </w:p>
    <w:p w14:paraId="55A8DAF7">
      <w:pPr>
        <w:pStyle w:val="29"/>
        <w:numPr>
          <w:ilvl w:val="0"/>
          <w:numId w:val="5"/>
        </w:numPr>
        <w:ind w:left="845" w:leftChars="0" w:hanging="425" w:firstLineChars="0"/>
        <w:rPr>
          <w:rFonts w:hint="eastAsia"/>
          <w:lang w:val="en-US" w:eastAsia="zh-CN"/>
        </w:rPr>
      </w:pPr>
      <w:r>
        <w:rPr>
          <w:rFonts w:hint="eastAsia"/>
          <w:lang w:val="en-US" w:eastAsia="zh-CN"/>
        </w:rPr>
        <w:t>能力评议（权重70%）：由人力资源部召集，邀请公司管理层代表、相关业务部门负责人及资深专家（T4及以上）组成评议组，通过述职答辩、案例评审等形式，对申请人的专业能力、解决问题能力、创新能力等进行评议打分。</w:t>
      </w:r>
    </w:p>
    <w:p w14:paraId="69C6F42C">
      <w:pPr>
        <w:pStyle w:val="29"/>
        <w:numPr>
          <w:ilvl w:val="0"/>
          <w:numId w:val="4"/>
        </w:numPr>
        <w:ind w:left="425" w:leftChars="0" w:hanging="425" w:firstLineChars="0"/>
        <w:rPr>
          <w:rFonts w:hint="eastAsia"/>
          <w:lang w:val="en-US" w:eastAsia="zh-CN"/>
        </w:rPr>
      </w:pPr>
      <w:r>
        <w:rPr>
          <w:rFonts w:hint="eastAsia"/>
          <w:lang w:val="en-US" w:eastAsia="zh-CN"/>
        </w:rPr>
        <w:t>结果拟定与审批：人力资源部汇总计算最终得分与排序，结合公司人才发展规划，拟定晋升建议名单，报公司管理层审批。</w:t>
      </w:r>
    </w:p>
    <w:p w14:paraId="3215C425">
      <w:pPr>
        <w:pStyle w:val="29"/>
        <w:numPr>
          <w:ilvl w:val="0"/>
          <w:numId w:val="4"/>
        </w:numPr>
        <w:ind w:left="425" w:leftChars="0" w:hanging="425" w:firstLineChars="0"/>
        <w:rPr>
          <w:rFonts w:hint="eastAsia"/>
          <w:lang w:val="en-US" w:eastAsia="zh-CN"/>
        </w:rPr>
      </w:pPr>
      <w:r>
        <w:rPr>
          <w:rFonts w:hint="eastAsia"/>
          <w:lang w:val="en-US" w:eastAsia="zh-CN"/>
        </w:rPr>
        <w:t>结果公示与应用：审批通过的名单予以公示。技能等级调整与薪酬福利等挂钩，自批准后的次月起生效。人力资源部将结果正式通知员工及所在部门。</w:t>
      </w:r>
    </w:p>
    <w:p w14:paraId="691565AA">
      <w:pPr>
        <w:pStyle w:val="28"/>
        <w:bidi w:val="0"/>
        <w:rPr>
          <w:rFonts w:hint="eastAsia"/>
          <w:lang w:val="en-US" w:eastAsia="zh-CN"/>
        </w:rPr>
      </w:pPr>
      <w:bookmarkStart w:id="16" w:name="_Toc7108"/>
      <w:r>
        <w:rPr>
          <w:rFonts w:hint="eastAsia"/>
          <w:lang w:val="en-US" w:eastAsia="zh-CN"/>
        </w:rPr>
        <w:t>评价</w:t>
      </w:r>
      <w:bookmarkStart w:id="21" w:name="_GoBack"/>
      <w:bookmarkEnd w:id="21"/>
      <w:r>
        <w:rPr>
          <w:rFonts w:hint="eastAsia"/>
          <w:lang w:val="en-US" w:eastAsia="zh-CN"/>
        </w:rPr>
        <w:t>内容与标准</w:t>
      </w:r>
      <w:bookmarkEnd w:id="16"/>
    </w:p>
    <w:p w14:paraId="10779729">
      <w:pPr>
        <w:pStyle w:val="40"/>
        <w:bidi w:val="0"/>
        <w:rPr>
          <w:rFonts w:hint="eastAsia"/>
          <w:lang w:val="en-US" w:eastAsia="zh-CN"/>
        </w:rPr>
      </w:pPr>
      <w:r>
        <w:rPr>
          <w:rFonts w:hint="eastAsia"/>
          <w:lang w:val="en-US" w:eastAsia="zh-CN"/>
        </w:rPr>
        <w:t>综合评价基于以下维度展开，具体评分细则见附件《员工任职能力评价表》：</w:t>
      </w:r>
    </w:p>
    <w:p w14:paraId="57077308">
      <w:pPr>
        <w:pStyle w:val="30"/>
        <w:bidi w:val="0"/>
        <w:rPr>
          <w:rFonts w:hint="eastAsia"/>
          <w:lang w:val="en-US" w:eastAsia="zh-CN"/>
        </w:rPr>
      </w:pPr>
      <w:bookmarkStart w:id="17" w:name="_Toc10228"/>
      <w:r>
        <w:rPr>
          <w:rFonts w:hint="eastAsia"/>
          <w:lang w:val="en-US" w:eastAsia="zh-CN"/>
        </w:rPr>
        <w:t>履历评审维度（30%）</w:t>
      </w:r>
      <w:bookmarkEnd w:id="17"/>
    </w:p>
    <w:p w14:paraId="3DFF9A3E">
      <w:pPr>
        <w:pStyle w:val="29"/>
        <w:bidi w:val="0"/>
        <w:rPr>
          <w:rFonts w:hint="eastAsia"/>
          <w:lang w:val="en-US" w:eastAsia="zh-CN"/>
        </w:rPr>
      </w:pPr>
      <w:r>
        <w:rPr>
          <w:rFonts w:hint="eastAsia"/>
          <w:lang w:val="en-US" w:eastAsia="zh-CN"/>
        </w:rPr>
        <w:t>基本素质（20%）：包括学历背景、相关工作经验年限等。</w:t>
      </w:r>
    </w:p>
    <w:p w14:paraId="5801B397">
      <w:pPr>
        <w:pStyle w:val="29"/>
        <w:bidi w:val="0"/>
        <w:rPr>
          <w:rFonts w:hint="eastAsia"/>
          <w:lang w:val="en-US" w:eastAsia="zh-CN"/>
        </w:rPr>
      </w:pPr>
      <w:r>
        <w:rPr>
          <w:rFonts w:hint="eastAsia"/>
          <w:lang w:val="en-US" w:eastAsia="zh-CN"/>
        </w:rPr>
        <w:t>历史贡献（80%）：重点考察过往两年内的绩效考核结果、参与重点项目中的角色与成果、技术创新、专利、荣誉获奖等。</w:t>
      </w:r>
    </w:p>
    <w:p w14:paraId="09E41D77">
      <w:pPr>
        <w:pStyle w:val="30"/>
        <w:bidi w:val="0"/>
        <w:rPr>
          <w:rFonts w:hint="eastAsia"/>
          <w:lang w:val="en-US" w:eastAsia="zh-CN"/>
        </w:rPr>
      </w:pPr>
      <w:bookmarkStart w:id="18" w:name="_Toc14895"/>
      <w:r>
        <w:rPr>
          <w:rFonts w:hint="eastAsia"/>
          <w:lang w:val="en-US" w:eastAsia="zh-CN"/>
        </w:rPr>
        <w:t>能力答辩维度（70%）</w:t>
      </w:r>
      <w:bookmarkEnd w:id="18"/>
    </w:p>
    <w:p w14:paraId="17F2AB9A">
      <w:pPr>
        <w:pStyle w:val="29"/>
        <w:bidi w:val="0"/>
        <w:rPr>
          <w:rFonts w:hint="default"/>
          <w:lang w:val="en-US" w:eastAsia="zh-CN"/>
        </w:rPr>
      </w:pPr>
      <w:r>
        <w:rPr>
          <w:rFonts w:hint="default"/>
          <w:lang w:val="en-US" w:eastAsia="zh-CN"/>
        </w:rPr>
        <w:t>专业能力（权重</w:t>
      </w:r>
      <w:r>
        <w:rPr>
          <w:rFonts w:hint="eastAsia"/>
          <w:lang w:val="en-US" w:eastAsia="zh-CN"/>
        </w:rPr>
        <w:t>4</w:t>
      </w:r>
      <w:r>
        <w:rPr>
          <w:rFonts w:hint="default"/>
          <w:lang w:val="en-US" w:eastAsia="zh-CN"/>
        </w:rPr>
        <w:t>0%）：知识体系的深度与广度，解决复杂、不确定性问题的逻辑与方法论。</w:t>
      </w:r>
    </w:p>
    <w:p w14:paraId="1663B0F2">
      <w:pPr>
        <w:pStyle w:val="29"/>
        <w:bidi w:val="0"/>
        <w:rPr>
          <w:rFonts w:hint="default"/>
          <w:lang w:val="en-US" w:eastAsia="zh-CN"/>
        </w:rPr>
      </w:pPr>
      <w:r>
        <w:rPr>
          <w:rFonts w:hint="default"/>
          <w:lang w:val="en-US" w:eastAsia="zh-CN"/>
        </w:rPr>
        <w:t>计划执行与创新能力（权重</w:t>
      </w:r>
      <w:r>
        <w:rPr>
          <w:rFonts w:hint="eastAsia"/>
          <w:lang w:val="en-US" w:eastAsia="zh-CN"/>
        </w:rPr>
        <w:t>4</w:t>
      </w:r>
      <w:r>
        <w:rPr>
          <w:rFonts w:hint="default"/>
          <w:lang w:val="en-US" w:eastAsia="zh-CN"/>
        </w:rPr>
        <w:t>0%）：目标拆解、资源协调、风险管控的能力；在工作中进行优化改进、技术创新的具体案例与价值。</w:t>
      </w:r>
    </w:p>
    <w:p w14:paraId="623EDA26">
      <w:pPr>
        <w:pStyle w:val="29"/>
        <w:bidi w:val="0"/>
        <w:rPr>
          <w:rFonts w:hint="default"/>
          <w:lang w:val="en-US" w:eastAsia="zh-CN"/>
        </w:rPr>
      </w:pPr>
      <w:r>
        <w:rPr>
          <w:rFonts w:hint="default"/>
          <w:lang w:val="en-US" w:eastAsia="zh-CN"/>
        </w:rPr>
        <w:t>团队协作与职业素养（权重</w:t>
      </w:r>
      <w:r>
        <w:rPr>
          <w:rFonts w:hint="eastAsia"/>
          <w:lang w:val="en-US" w:eastAsia="zh-CN"/>
        </w:rPr>
        <w:t>2</w:t>
      </w:r>
      <w:r>
        <w:rPr>
          <w:rFonts w:hint="default"/>
          <w:lang w:val="en-US" w:eastAsia="zh-CN"/>
        </w:rPr>
        <w:t>0%）：沟通协作、知识分享、客户服务意识及文化认同。</w:t>
      </w:r>
    </w:p>
    <w:p w14:paraId="0FCFB37F">
      <w:pPr>
        <w:pStyle w:val="29"/>
        <w:rPr>
          <w:rFonts w:hint="eastAsia"/>
          <w:lang w:val="en-US" w:eastAsia="zh-CN"/>
        </w:rPr>
      </w:pPr>
    </w:p>
    <w:p w14:paraId="2B732627">
      <w:pPr>
        <w:pStyle w:val="28"/>
        <w:bidi w:val="0"/>
        <w:rPr>
          <w:rFonts w:hint="eastAsia"/>
          <w:lang w:val="en-US" w:eastAsia="zh-CN"/>
        </w:rPr>
      </w:pPr>
      <w:bookmarkStart w:id="19" w:name="_Toc13897"/>
      <w:r>
        <w:rPr>
          <w:rFonts w:hint="eastAsia"/>
          <w:lang w:val="en-US" w:eastAsia="zh-CN"/>
        </w:rPr>
        <w:t>考核指标</w:t>
      </w:r>
      <w:bookmarkEnd w:id="19"/>
    </w:p>
    <w:tbl>
      <w:tblPr>
        <w:tblStyle w:val="20"/>
        <w:tblW w:w="8504"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35"/>
        <w:gridCol w:w="936"/>
        <w:gridCol w:w="5507"/>
        <w:gridCol w:w="926"/>
      </w:tblGrid>
      <w:tr w14:paraId="30A83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3" w:hRule="atLeast"/>
        </w:trPr>
        <w:tc>
          <w:tcPr>
            <w:tcW w:w="1135"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28CEEEDB">
            <w:pPr>
              <w:keepNext w:val="0"/>
              <w:keepLines w:val="0"/>
              <w:widowControl/>
              <w:suppressLineNumbers w:val="0"/>
              <w:jc w:val="center"/>
              <w:textAlignment w:val="center"/>
              <w:rPr>
                <w:rFonts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KPI</w:t>
            </w:r>
          </w:p>
        </w:tc>
        <w:tc>
          <w:tcPr>
            <w:tcW w:w="93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242C1035">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目标值</w:t>
            </w:r>
          </w:p>
        </w:tc>
        <w:tc>
          <w:tcPr>
            <w:tcW w:w="550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6F5DF539">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计算公式/方法</w:t>
            </w:r>
          </w:p>
        </w:tc>
        <w:tc>
          <w:tcPr>
            <w:tcW w:w="92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5B3BEA3A">
            <w:pPr>
              <w:keepNext w:val="0"/>
              <w:keepLines w:val="0"/>
              <w:widowControl/>
              <w:suppressLineNumbers w:val="0"/>
              <w:jc w:val="center"/>
              <w:textAlignment w:val="center"/>
              <w:rPr>
                <w:rFonts w:hint="default" w:ascii="楷体_GB2312" w:hAnsi="宋体" w:eastAsia="楷体_GB2312" w:cs="楷体_GB2312"/>
                <w:b/>
                <w:bCs/>
                <w:i w:val="0"/>
                <w:iCs w:val="0"/>
                <w:color w:val="000000"/>
                <w:sz w:val="22"/>
                <w:szCs w:val="22"/>
                <w:u w:val="none"/>
              </w:rPr>
            </w:pPr>
            <w:r>
              <w:rPr>
                <w:rFonts w:hint="default" w:ascii="楷体_GB2312" w:hAnsi="宋体" w:eastAsia="楷体_GB2312" w:cs="楷体_GB2312"/>
                <w:b/>
                <w:bCs/>
                <w:i w:val="0"/>
                <w:iCs w:val="0"/>
                <w:snapToGrid w:val="0"/>
                <w:color w:val="000000"/>
                <w:kern w:val="0"/>
                <w:sz w:val="22"/>
                <w:szCs w:val="22"/>
                <w:u w:val="none"/>
                <w:lang w:val="en-US" w:eastAsia="zh-CN"/>
              </w:rPr>
              <w:t>频度</w:t>
            </w:r>
          </w:p>
        </w:tc>
      </w:tr>
      <w:tr w14:paraId="55C67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3" w:hRule="atLeast"/>
        </w:trPr>
        <w:tc>
          <w:tcPr>
            <w:tcW w:w="113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7BFC55">
            <w:pPr>
              <w:keepNext w:val="0"/>
              <w:keepLines w:val="0"/>
              <w:widowControl/>
              <w:suppressLineNumbers w:val="0"/>
              <w:jc w:val="left"/>
              <w:textAlignment w:val="center"/>
              <w:rPr>
                <w:rFonts w:hint="default"/>
                <w:lang w:val="en-US" w:eastAsia="zh-CN"/>
              </w:rPr>
            </w:pPr>
            <w:r>
              <w:rPr>
                <w:rFonts w:hint="eastAsia" w:ascii="宋体" w:hAnsi="宋体" w:cs="宋体"/>
                <w:i w:val="0"/>
                <w:iCs w:val="0"/>
                <w:snapToGrid w:val="0"/>
                <w:color w:val="000000"/>
                <w:kern w:val="0"/>
                <w:sz w:val="21"/>
                <w:szCs w:val="21"/>
                <w:u w:val="none"/>
                <w:lang w:val="en-US" w:eastAsia="zh-CN"/>
              </w:rPr>
              <w:t>能力评价</w:t>
            </w:r>
            <w:r>
              <w:rPr>
                <w:rFonts w:hint="eastAsia" w:ascii="宋体" w:hAnsi="宋体" w:eastAsia="宋体" w:cs="宋体"/>
                <w:i w:val="0"/>
                <w:iCs w:val="0"/>
                <w:snapToGrid w:val="0"/>
                <w:color w:val="000000"/>
                <w:kern w:val="0"/>
                <w:sz w:val="21"/>
                <w:szCs w:val="21"/>
                <w:u w:val="none"/>
                <w:lang w:val="en-US" w:eastAsia="zh-CN"/>
              </w:rPr>
              <w:t>覆盖率</w:t>
            </w:r>
          </w:p>
        </w:tc>
        <w:tc>
          <w:tcPr>
            <w:tcW w:w="93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E21311">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≥80%</w:t>
            </w:r>
          </w:p>
        </w:tc>
        <w:tc>
          <w:tcPr>
            <w:tcW w:w="55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E532F">
            <w:pPr>
              <w:keepNext w:val="0"/>
              <w:keepLines w:val="0"/>
              <w:widowControl/>
              <w:suppressLineNumbers w:val="0"/>
              <w:jc w:val="left"/>
              <w:textAlignment w:val="center"/>
              <w:rPr>
                <w:rFonts w:hint="default"/>
                <w:lang w:val="en-US" w:eastAsia="zh-CN"/>
              </w:rPr>
            </w:pPr>
            <w:r>
              <w:rPr>
                <w:rFonts w:hint="eastAsia" w:ascii="宋体" w:hAnsi="宋体" w:eastAsia="宋体" w:cs="宋体"/>
                <w:i w:val="0"/>
                <w:iCs w:val="0"/>
                <w:snapToGrid w:val="0"/>
                <w:color w:val="000000"/>
                <w:kern w:val="0"/>
                <w:sz w:val="21"/>
                <w:szCs w:val="21"/>
                <w:u w:val="none"/>
                <w:lang w:val="en-US" w:eastAsia="zh-CN"/>
              </w:rPr>
              <w:t>实际进行</w:t>
            </w:r>
            <w:r>
              <w:rPr>
                <w:rFonts w:hint="eastAsia" w:ascii="宋体" w:hAnsi="宋体" w:cs="宋体"/>
                <w:i w:val="0"/>
                <w:iCs w:val="0"/>
                <w:snapToGrid w:val="0"/>
                <w:color w:val="000000"/>
                <w:kern w:val="0"/>
                <w:sz w:val="21"/>
                <w:szCs w:val="21"/>
                <w:u w:val="none"/>
                <w:lang w:val="en-US" w:eastAsia="zh-CN"/>
              </w:rPr>
              <w:t>能力评价</w:t>
            </w:r>
            <w:r>
              <w:rPr>
                <w:rFonts w:hint="eastAsia" w:ascii="宋体" w:hAnsi="宋体" w:eastAsia="宋体" w:cs="宋体"/>
                <w:i w:val="0"/>
                <w:iCs w:val="0"/>
                <w:snapToGrid w:val="0"/>
                <w:color w:val="000000"/>
                <w:kern w:val="0"/>
                <w:sz w:val="21"/>
                <w:szCs w:val="21"/>
                <w:u w:val="none"/>
                <w:lang w:val="en-US" w:eastAsia="zh-CN"/>
              </w:rPr>
              <w:t>的人数/应进行</w:t>
            </w:r>
            <w:r>
              <w:rPr>
                <w:rFonts w:hint="eastAsia" w:ascii="宋体" w:hAnsi="宋体" w:cs="宋体"/>
                <w:i w:val="0"/>
                <w:iCs w:val="0"/>
                <w:snapToGrid w:val="0"/>
                <w:color w:val="000000"/>
                <w:kern w:val="0"/>
                <w:sz w:val="21"/>
                <w:szCs w:val="21"/>
                <w:u w:val="none"/>
                <w:lang w:val="en-US" w:eastAsia="zh-CN"/>
              </w:rPr>
              <w:t>能力评价</w:t>
            </w:r>
            <w:r>
              <w:rPr>
                <w:rFonts w:hint="eastAsia" w:ascii="宋体" w:hAnsi="宋体" w:eastAsia="宋体" w:cs="宋体"/>
                <w:i w:val="0"/>
                <w:iCs w:val="0"/>
                <w:snapToGrid w:val="0"/>
                <w:color w:val="000000"/>
                <w:kern w:val="0"/>
                <w:sz w:val="21"/>
                <w:szCs w:val="21"/>
                <w:u w:val="none"/>
                <w:lang w:val="en-US" w:eastAsia="zh-CN"/>
              </w:rPr>
              <w:t>的人数*100%</w:t>
            </w:r>
          </w:p>
        </w:tc>
        <w:tc>
          <w:tcPr>
            <w:tcW w:w="92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384C8A">
            <w:pPr>
              <w:keepNext w:val="0"/>
              <w:keepLines w:val="0"/>
              <w:widowControl/>
              <w:suppressLineNumbers w:val="0"/>
              <w:jc w:val="left"/>
              <w:textAlignment w:val="center"/>
              <w:rPr>
                <w:rFonts w:hint="default"/>
                <w:lang w:val="en-US" w:eastAsia="zh-CN"/>
              </w:rPr>
            </w:pPr>
            <w:r>
              <w:rPr>
                <w:rFonts w:hint="eastAsia" w:ascii="宋体" w:hAnsi="宋体" w:cs="宋体"/>
                <w:i w:val="0"/>
                <w:iCs w:val="0"/>
                <w:snapToGrid w:val="0"/>
                <w:color w:val="000000"/>
                <w:kern w:val="0"/>
                <w:sz w:val="21"/>
                <w:szCs w:val="21"/>
                <w:u w:val="none"/>
                <w:lang w:val="en-US" w:eastAsia="zh-CN"/>
              </w:rPr>
              <w:t>年度</w:t>
            </w:r>
          </w:p>
        </w:tc>
      </w:tr>
    </w:tbl>
    <w:p w14:paraId="01331858">
      <w:pPr>
        <w:pStyle w:val="28"/>
        <w:bidi w:val="0"/>
        <w:rPr>
          <w:rFonts w:hint="eastAsia"/>
          <w:lang w:val="en-US" w:eastAsia="zh-CN"/>
        </w:rPr>
      </w:pPr>
      <w:bookmarkStart w:id="20" w:name="_Toc25607"/>
      <w:r>
        <w:rPr>
          <w:rFonts w:hint="eastAsia"/>
          <w:lang w:val="en-US" w:eastAsia="zh-CN"/>
        </w:rPr>
        <w:t>附则</w:t>
      </w:r>
      <w:bookmarkEnd w:id="20"/>
    </w:p>
    <w:p w14:paraId="19E8C95D">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本制度由人力资源部负责解释与修订。</w:t>
      </w:r>
    </w:p>
    <w:p w14:paraId="27448E00">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本制度自发布之日起执行。</w:t>
      </w:r>
    </w:p>
    <w:p w14:paraId="69965E48">
      <w:pPr>
        <w:pStyle w:val="29"/>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附件《员工任职能力评价表》为本制度组成部分，由人力资源部负责维护与更新。</w:t>
      </w: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969D4">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AE050">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桐乡华数广电网络有限公司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BBCC47E"/>
    <w:multiLevelType w:val="singleLevel"/>
    <w:tmpl w:val="CBBCC47E"/>
    <w:lvl w:ilvl="0" w:tentative="0">
      <w:start w:val="1"/>
      <w:numFmt w:val="decimal"/>
      <w:lvlText w:val="%1."/>
      <w:lvlJc w:val="left"/>
      <w:pPr>
        <w:ind w:left="425" w:hanging="425"/>
      </w:pPr>
      <w:rPr>
        <w:rFonts w:hint="default"/>
      </w:rPr>
    </w:lvl>
  </w:abstractNum>
  <w:abstractNum w:abstractNumId="2">
    <w:nsid w:val="D7519669"/>
    <w:multiLevelType w:val="singleLevel"/>
    <w:tmpl w:val="D7519669"/>
    <w:lvl w:ilvl="0" w:tentative="0">
      <w:start w:val="1"/>
      <w:numFmt w:val="decimal"/>
      <w:lvlText w:val="%1."/>
      <w:lvlJc w:val="left"/>
      <w:pPr>
        <w:ind w:left="425" w:hanging="425"/>
      </w:pPr>
      <w:rPr>
        <w:rFonts w:hint="default"/>
      </w:rPr>
    </w:lvl>
  </w:abstractNum>
  <w:abstractNum w:abstractNumId="3">
    <w:nsid w:val="DF771305"/>
    <w:multiLevelType w:val="singleLevel"/>
    <w:tmpl w:val="DF771305"/>
    <w:lvl w:ilvl="0" w:tentative="0">
      <w:start w:val="1"/>
      <w:numFmt w:val="decimal"/>
      <w:lvlText w:val="%1."/>
      <w:lvlJc w:val="left"/>
      <w:pPr>
        <w:ind w:left="425" w:hanging="425"/>
      </w:pPr>
      <w:rPr>
        <w:rFonts w:hint="default"/>
      </w:rPr>
    </w:lvl>
  </w:abstractNum>
  <w:abstractNum w:abstractNumId="4">
    <w:nsid w:val="FB6490F9"/>
    <w:multiLevelType w:val="singleLevel"/>
    <w:tmpl w:val="FB6490F9"/>
    <w:lvl w:ilvl="0" w:tentative="0">
      <w:start w:val="1"/>
      <w:numFmt w:val="decimal"/>
      <w:lvlText w:val="(%1)"/>
      <w:lvlJc w:val="left"/>
      <w:pPr>
        <w:tabs>
          <w:tab w:val="left" w:pos="420"/>
        </w:tabs>
        <w:ind w:left="845" w:hanging="425"/>
      </w:pPr>
      <w:rPr>
        <w:rFonts w:hint="default"/>
      </w:rPr>
    </w:lvl>
  </w:abstractNum>
  <w:abstractNum w:abstractNumId="5">
    <w:nsid w:val="6186E790"/>
    <w:multiLevelType w:val="singleLevel"/>
    <w:tmpl w:val="6186E790"/>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5"/>
  </w:num>
  <w:num w:numId="4">
    <w:abstractNumId w:val="1"/>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7B05960"/>
    <w:rsid w:val="09497E1A"/>
    <w:rsid w:val="0A486323"/>
    <w:rsid w:val="0AF02C43"/>
    <w:rsid w:val="271916EC"/>
    <w:rsid w:val="2EF75A9F"/>
    <w:rsid w:val="323E67EF"/>
    <w:rsid w:val="37906A90"/>
    <w:rsid w:val="3D7604D6"/>
    <w:rsid w:val="3E1877DF"/>
    <w:rsid w:val="407707ED"/>
    <w:rsid w:val="427F607F"/>
    <w:rsid w:val="439D67BD"/>
    <w:rsid w:val="4B920BD1"/>
    <w:rsid w:val="51B15B29"/>
    <w:rsid w:val="562E7748"/>
    <w:rsid w:val="64C5396E"/>
    <w:rsid w:val="67A17493"/>
    <w:rsid w:val="77701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link w:val="43"/>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character" w:customStyle="1" w:styleId="43">
    <w:name w:val="柴_正文_无缩进 Char"/>
    <w:link w:val="40"/>
    <w:qFormat/>
    <w:uiPriority w:val="0"/>
    <w:rPr>
      <w:rFonts w:ascii="Arial" w:hAnsi="Arial"/>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2176</Words>
  <Characters>2325</Characters>
  <Lines>0</Lines>
  <Paragraphs>0</Paragraphs>
  <TotalTime>0</TotalTime>
  <ScaleCrop>false</ScaleCrop>
  <LinksUpToDate>false</LinksUpToDate>
  <CharactersWithSpaces>2412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2026-05-14T16:25:18Z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2052-12.1.0.25865</vt:lpwstr>
  </property>
  <property fmtid="{D5CDD505-2E9C-101B-9397-08002B2CF9AE}" pid="4" name="KSOTemplateDocerSaveRecord">
    <vt:lpwstr>eyJoZGlkIjoiZWI4NmUzMGY2ODA3MDc4ZTFlMjZjZTAyMjM0NmVmODgiLCJ1c2VySWQiOiIxMDc1MzgyOSJ9</vt:lpwstr>
  </property>
</Properties>
</file>