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1015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1521"/>
      <w:r>
        <w:rPr>
          <w:rFonts w:hint="eastAsia"/>
          <w:lang w:val="en-US" w:eastAsia="zh-CN"/>
        </w:rPr>
        <w:t>配置管理制度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8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完善配置审计</w:t>
            </w:r>
            <w:bookmarkStart w:id="2" w:name="_GoBack"/>
            <w:bookmarkEnd w:id="2"/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_Toc31015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_Toc31015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_Toc11521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配置管理制度</w:t>
          </w:r>
          <w:r>
            <w:tab/>
          </w:r>
          <w:r>
            <w:fldChar w:fldCharType="begin"/>
          </w:r>
          <w:r>
            <w:instrText xml:space="preserve"> PAGEREF _Toc11521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_Toc15837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_Toc15837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_Toc13118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_Toc13118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_Toc5040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_Toc5040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_Toc18249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原则</w:t>
          </w:r>
          <w:r>
            <w:tab/>
          </w:r>
          <w:r>
            <w:fldChar w:fldCharType="begin"/>
          </w:r>
          <w:r>
            <w:instrText xml:space="preserve"> PAGEREF _Toc18249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_Toc10658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角色与职责</w:t>
          </w:r>
          <w:r>
            <w:tab/>
          </w:r>
          <w:r>
            <w:fldChar w:fldCharType="begin"/>
          </w:r>
          <w:r>
            <w:instrText xml:space="preserve"> PAGEREF _Toc10658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_Toc22360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核心管理活动</w:t>
          </w:r>
          <w:r>
            <w:tab/>
          </w:r>
          <w:r>
            <w:fldChar w:fldCharType="begin"/>
          </w:r>
          <w:r>
            <w:instrText xml:space="preserve"> PAGEREF _Toc22360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_Toc11109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配置项识别与建模</w:t>
          </w:r>
          <w:r>
            <w:tab/>
          </w:r>
          <w:r>
            <w:fldChar w:fldCharType="begin"/>
          </w:r>
          <w:r>
            <w:instrText xml:space="preserve"> PAGEREF _Toc11109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_Toc17760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配置信息录入与维护</w:t>
          </w:r>
          <w:r>
            <w:tab/>
          </w:r>
          <w:r>
            <w:fldChar w:fldCharType="begin"/>
          </w:r>
          <w:r>
            <w:instrText xml:space="preserve"> PAGEREF _Toc17760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_Toc27644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配置状态报告</w:t>
          </w:r>
          <w:r>
            <w:tab/>
          </w:r>
          <w:r>
            <w:fldChar w:fldCharType="begin"/>
          </w:r>
          <w:r>
            <w:instrText xml:space="preserve"> PAGEREF _Toc27644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_Toc13743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配置审计</w:t>
          </w:r>
          <w:r>
            <w:tab/>
          </w:r>
          <w:r>
            <w:fldChar w:fldCharType="begin"/>
          </w:r>
          <w:r>
            <w:instrText xml:space="preserve"> PAGEREF _Toc13743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_Toc3692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审计类型与周期</w:t>
          </w:r>
          <w:r>
            <w:tab/>
          </w:r>
          <w:r>
            <w:fldChar w:fldCharType="begin"/>
          </w:r>
          <w:r>
            <w:instrText xml:space="preserve"> PAGEREF _Toc3692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_Toc22373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审计流程</w:t>
          </w:r>
          <w:r>
            <w:tab/>
          </w:r>
          <w:r>
            <w:fldChar w:fldCharType="begin"/>
          </w:r>
          <w:r>
            <w:instrText xml:space="preserve"> PAGEREF _Toc22373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_Toc25821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与其他流程的接口</w:t>
          </w:r>
          <w:r>
            <w:tab/>
          </w:r>
          <w:r>
            <w:fldChar w:fldCharType="begin"/>
          </w:r>
          <w:r>
            <w:instrText xml:space="preserve"> PAGEREF _Toc25821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_Toc7554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_Toc7554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_Toc16859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附则</w:t>
          </w:r>
          <w:r>
            <w:tab/>
          </w:r>
          <w:r>
            <w:fldChar w:fldCharType="begin"/>
          </w:r>
          <w:r>
            <w:instrText xml:space="preserve"> PAGEREF _Toc16859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15837"/>
      <w:r>
        <w:rPr>
          <w:rFonts w:hint="default"/>
          <w:lang w:val="en-US" w:eastAsia="zh-CN"/>
        </w:rPr>
        <w:t>总则</w:t>
      </w:r>
      <w:bookmarkEnd w:id="3"/>
    </w:p>
    <w:p>
      <w:pPr>
        <w:pStyle w:val="2"/>
        <w:bidi w:val="0"/>
        <w:rPr>
          <w:rFonts w:hint="default"/>
          <w:lang w:val="en-US" w:eastAsia="zh-CN"/>
        </w:rPr>
      </w:pPr>
      <w:bookmarkStart w:id="4" w:name="_Toc13118"/>
      <w:r>
        <w:rPr>
          <w:rFonts w:hint="default"/>
          <w:lang w:val="en-US" w:eastAsia="zh-CN"/>
        </w:rPr>
        <w:t>目的</w:t>
      </w:r>
      <w:bookmarkEnd w:id="4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</w:t>
      </w:r>
      <w:r>
        <w:rPr>
          <w:rFonts w:hint="eastAsia"/>
          <w:lang w:val="en-US" w:eastAsia="zh-CN"/>
        </w:rPr>
        <w:t>运维服务</w:t>
      </w:r>
      <w:r>
        <w:rPr>
          <w:rFonts w:hint="default"/>
          <w:lang w:val="en-US" w:eastAsia="zh-CN"/>
        </w:rPr>
        <w:t>中配置项的管理，建立并维护一套准确、可信的配置管理数据库，为事件管理、问题管理、变更管理、发布管理等流程提供可靠的信息支撑，保障服务交付的稳定性与运维决策的有效性，特制定本制度。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" w:name="_Toc5040"/>
      <w:r>
        <w:rPr>
          <w:rFonts w:hint="default"/>
          <w:lang w:val="en-US" w:eastAsia="zh-CN"/>
        </w:rPr>
        <w:t>适用范围</w:t>
      </w:r>
      <w:bookmarkEnd w:id="5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</w:t>
      </w:r>
      <w:r>
        <w:rPr>
          <w:rFonts w:hint="eastAsia"/>
          <w:lang w:val="en-US" w:eastAsia="zh-CN"/>
        </w:rPr>
        <w:t>运维服务</w:t>
      </w:r>
      <w:r>
        <w:rPr>
          <w:rFonts w:hint="default"/>
          <w:lang w:val="en-US" w:eastAsia="zh-CN"/>
        </w:rPr>
        <w:t>项目中，纳入管理范围内的所有配置项，主要包括：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应用服务类：应用程序、微服务、API接口、前端页面。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数据与中间件类：数据库实例、缓存服务、消息队列、ETL流程。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运行环境类：服务器（含虚拟机/容器）操作系统、运行时环境、配置文件、环境变量。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工具与文档类：监控工具账号、运维脚本、架构图、部署文档。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逻辑实体类：客户组织机构、关键业务逻辑单元、服务目录条目。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" w:name="_Toc18249"/>
      <w:r>
        <w:rPr>
          <w:rFonts w:hint="default"/>
          <w:lang w:val="en-US" w:eastAsia="zh-CN"/>
        </w:rPr>
        <w:t>原则</w:t>
      </w:r>
      <w:bookmarkEnd w:id="6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权威单一来源：配置管理数据库是配置项信息的唯一权威来源。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全程跟踪：配置项在整个生命周期内的状态和关系变化必须被记录。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受控变更：所有配置项的变更必须通过变更管理流程驱动。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定期审计：必须定期对CMDB的准确性进行审计与验证。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7" w:name="_Toc10658"/>
      <w:r>
        <w:rPr>
          <w:rFonts w:hint="default"/>
          <w:lang w:val="en-US" w:eastAsia="zh-CN"/>
        </w:rPr>
        <w:t>角色与职责</w:t>
      </w:r>
      <w:bookmarkEnd w:id="7"/>
    </w:p>
    <w:tbl>
      <w:tblPr>
        <w:tblStyle w:val="TableNormal"/>
        <w:tblW w:w="9024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8"/>
        <w:gridCol w:w="4315"/>
        <w:gridCol w:w="3551"/>
      </w:tblGrid>
      <w:tr>
        <w:tblPrEx>
          <w:tblW w:w="9024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主要职责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对应岗位/人员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配置管理负责人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制定并维护配置管理策略、流程与标准。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监督管理CMDB的整体健康度与数据质量。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审批配置项分类、属性及关系模型的变更。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4. 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组织并主导定期的配置审计活动。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（总体负责）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配置管理员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负责CMDB的日常操作，执行配置项的登记、更新、退役。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审核并执行来自变更流程的配置信息更新请求。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定期生成配置状态报告。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4. 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执行具体的配置审计与数据验证工作。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（通常由质量管理部专员或运维部指定骨干工程师兼任）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配置项责任人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确保所负责配置项信息的真实性与及时性。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在配置发生变更后，主动或按要求向配置管理员提供准确信息。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配合完成配置审计的现场验证。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（对服务整体配置负责）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运维工程师/开发工程师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（对具体技术组件负责）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监督本制度的执行情况与流程合规性。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2. 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参与配置审计，并对审计发现问题的整改进行跟踪验证。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及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质量管理专员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8" w:name="_Toc22360"/>
      <w:r>
        <w:rPr>
          <w:rFonts w:hint="default"/>
          <w:lang w:val="en-US" w:eastAsia="zh-CN"/>
        </w:rPr>
        <w:t>核心管理活动</w:t>
      </w:r>
      <w:bookmarkEnd w:id="8"/>
    </w:p>
    <w:p>
      <w:pPr>
        <w:pStyle w:val="2"/>
        <w:bidi w:val="0"/>
        <w:rPr>
          <w:rFonts w:hint="default"/>
          <w:lang w:val="en-US" w:eastAsia="zh-CN"/>
        </w:rPr>
      </w:pPr>
      <w:bookmarkStart w:id="9" w:name="_Toc11109"/>
      <w:r>
        <w:rPr>
          <w:rFonts w:hint="default"/>
          <w:lang w:val="en-US" w:eastAsia="zh-CN"/>
        </w:rPr>
        <w:t>配置项识别与建模</w:t>
      </w:r>
      <w:bookmarkEnd w:id="9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识别范围：根据服务合同与SLA，确定需要管理的配置项及其颗粒度。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定义属性：为每类配置项定义关键属性（如名称、版本、IP/域名、负责人、状态）。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定义关系：明确配置项之间的逻辑与依赖关系（如“运行于”、“连接至”、“依赖”）。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0" w:name="_Toc17760"/>
      <w:r>
        <w:rPr>
          <w:rFonts w:hint="default"/>
          <w:lang w:val="en-US" w:eastAsia="zh-CN"/>
        </w:rPr>
        <w:t>配置信息录入与维护</w:t>
      </w:r>
      <w:bookmarkEnd w:id="10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初始入库：新项目启动或新服务上线时，由配置项责任人提供信息，配置管理员统一初始化录入CMDB。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日常更新： 所有配置项的变更必须经由变更管理流程触发。变更实施后，由变更实施人（工程师）或配置管理员依据变更结果更新CMDB。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状态管理： 配置项状态（如“设计中”、“运行中”、“已下线”、“已归档”）需随其生命周期及时更新。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27644"/>
      <w:r>
        <w:rPr>
          <w:rFonts w:hint="default"/>
          <w:lang w:val="en-US" w:eastAsia="zh-CN"/>
        </w:rPr>
        <w:t>配置状态报告</w:t>
      </w:r>
      <w:bookmarkEnd w:id="11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定期生成并分发配置状态报告、配置项关系图等，供项目管理、容量规划及风险分析使用。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2" w:name="_Toc13743"/>
      <w:r>
        <w:rPr>
          <w:rFonts w:hint="default"/>
          <w:lang w:val="en-US" w:eastAsia="zh-CN"/>
        </w:rPr>
        <w:t>配置审计</w:t>
      </w:r>
      <w:bookmarkEnd w:id="12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为确保CMDB数据的准确性，必须定期执行配置审计。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3692"/>
      <w:r>
        <w:rPr>
          <w:rFonts w:hint="default"/>
          <w:lang w:val="en-US" w:eastAsia="zh-CN"/>
        </w:rPr>
        <w:t>审计类型与周期</w:t>
      </w:r>
      <w:bookmarkEnd w:id="13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全面审计：每年至少进行一次，覆盖所有在管配置项，验证其属性、关系及状态的准确性。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专项审计：在以下情况下必须进行：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重大项目上线或下线后。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重大变更实施后。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发生重大事件，怀疑与配置信息不准确有关时。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抽样审计：每季度进行一次，随机抽取不低于10%的关键配置项（如核心应用、数据库）进行深度验证。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22373"/>
      <w:r>
        <w:rPr>
          <w:rFonts w:hint="default"/>
          <w:lang w:val="en-US" w:eastAsia="zh-CN"/>
        </w:rPr>
        <w:t>审计流程</w:t>
      </w:r>
      <w:bookmarkEnd w:id="14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计划：配置管理负责人制定审计计划，明确范围、方法和时间。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执行：配置管理员协同配置项责任人，比对CMDB记录与实际环境。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分析：记录差异，分析原因（如未授权变更、流程未遵循、录入错误）。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纠正：针对差异发起变更请求（RFC）以修正CMDB，或纠正不合规的实际配置。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报告：编制《配置审计报告》，包括审计结果、差异分析、纠正措施及改进建议，提交至质量管理部及管理层。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5" w:name="_Toc25821"/>
      <w:r>
        <w:rPr>
          <w:rFonts w:hint="default"/>
          <w:lang w:val="en-US" w:eastAsia="zh-CN"/>
        </w:rPr>
        <w:t>与其他流程的接口</w:t>
      </w:r>
      <w:bookmarkEnd w:id="15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事件/问题管理：在处理事件和问题时，应关联相关配置项，利用其关系图辅助根因定位。若发现配置信息错误，应触发CMDB更新流程。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变更管理：核心接口。所有变更请求（RFC）必须识别受影响配置项。变更实施成功后，必须同步更新CMDB，否则变更流程不得关闭。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发布管理：发布新版本后，必须更新相关应用程序、中间件等配置项的版本属性。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6" w:name="_Toc7554"/>
      <w:r>
        <w:rPr>
          <w:rFonts w:hint="eastAsia"/>
          <w:lang w:val="en-US" w:eastAsia="zh-CN"/>
        </w:rPr>
        <w:t>考核指标</w:t>
      </w:r>
      <w:bookmarkEnd w:id="16"/>
    </w:p>
    <w:tbl>
      <w:tblPr>
        <w:tblStyle w:val="TableNormal"/>
        <w:tblW w:w="7675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1"/>
        <w:gridCol w:w="984"/>
        <w:gridCol w:w="3624"/>
        <w:gridCol w:w="1056"/>
      </w:tblGrid>
      <w:tr>
        <w:tblPrEx>
          <w:tblW w:w="7675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2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>
        <w:tblPrEx>
          <w:tblW w:w="7675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2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配置数据的准确率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≥95%</w:t>
            </w:r>
          </w:p>
        </w:tc>
        <w:tc>
          <w:tcPr>
            <w:tcW w:w="3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（配置数据匹配数/配置数据总数）*100%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半年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17" w:name="_Toc16859"/>
      <w:r>
        <w:rPr>
          <w:rFonts w:hint="default"/>
          <w:lang w:val="en-US" w:eastAsia="zh-CN"/>
        </w:rPr>
        <w:t>附则</w:t>
      </w:r>
      <w:bookmarkEnd w:id="17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本制度由运维部负责解释与修订，自发布之日起执行。所有项目必须依据本制度建立和维护项目级配置管理子集。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1902</Words>
  <Characters>2063</Characters>
  <Application>Microsoft Office Word</Application>
  <DocSecurity>0</DocSecurity>
  <Lines>0</Lines>
  <Paragraphs>0</Paragraphs>
  <ScaleCrop>false</ScaleCrop>
  <Company/>
  <LinksUpToDate>false</LinksUpToDate>
  <CharactersWithSpaces>2144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2026-04-25T15:42:25Z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