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0805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6015"/>
      <w:r>
        <w:rPr>
          <w:rFonts w:hint="eastAsia"/>
          <w:lang w:val="en-US" w:eastAsia="zh-CN"/>
        </w:rPr>
        <w:t>运维服务工具管理制度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-01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Theme="minorAscii" w:eastAsiaTheme="minorEastAsia" w:hAnsiTheme="minorAscii" w:hint="default"/>
                <w:spacing w:val="0"/>
                <w:kern w:val="0"/>
                <w:sz w:val="21"/>
                <w:vertAlign w:val="baseline"/>
                <w:lang w:val="en-US" w:eastAsia="zh-CN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完善持续改进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en-US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_Toc20805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_Toc20805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_Toc26015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运维服务工具管理制度</w:t>
          </w:r>
          <w:r>
            <w:tab/>
          </w:r>
          <w:r>
            <w:fldChar w:fldCharType="begin"/>
          </w:r>
          <w:r>
            <w:instrText xml:space="preserve"> PAGEREF _Toc26015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_Toc9887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_Toc9887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_Toc16553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_Toc16553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_Toc5592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定义与术语</w:t>
          </w:r>
          <w:r>
            <w:tab/>
          </w:r>
          <w:r>
            <w:fldChar w:fldCharType="begin"/>
          </w:r>
          <w:r>
            <w:instrText xml:space="preserve"> PAGEREF _Toc5592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_Toc15637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运维过程管理工具</w:t>
          </w:r>
          <w:r>
            <w:tab/>
          </w:r>
          <w:r>
            <w:fldChar w:fldCharType="begin"/>
          </w:r>
          <w:r>
            <w:instrText xml:space="preserve"> PAGEREF _Toc15637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_Toc24815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运维监控工具</w:t>
          </w:r>
          <w:r>
            <w:tab/>
          </w:r>
          <w:r>
            <w:fldChar w:fldCharType="begin"/>
          </w:r>
          <w:r>
            <w:instrText xml:space="preserve"> PAGEREF _Toc24815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_Toc16098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运维专用工具</w:t>
          </w:r>
          <w:r>
            <w:tab/>
          </w:r>
          <w:r>
            <w:fldChar w:fldCharType="begin"/>
          </w:r>
          <w:r>
            <w:instrText xml:space="preserve"> PAGEREF _Toc16098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_Toc17911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管理职责</w:t>
          </w:r>
          <w:r>
            <w:tab/>
          </w:r>
          <w:r>
            <w:fldChar w:fldCharType="begin"/>
          </w:r>
          <w:r>
            <w:instrText xml:space="preserve"> PAGEREF _Toc17911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_Toc5534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运维管理部门</w:t>
          </w:r>
          <w:r>
            <w:tab/>
          </w:r>
          <w:r>
            <w:fldChar w:fldCharType="begin"/>
          </w:r>
          <w:r>
            <w:instrText xml:space="preserve"> PAGEREF _Toc5534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_Toc24807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工具使用人员</w:t>
          </w:r>
          <w:r>
            <w:tab/>
          </w:r>
          <w:r>
            <w:fldChar w:fldCharType="begin"/>
          </w:r>
          <w:r>
            <w:instrText xml:space="preserve"> PAGEREF _Toc24807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_Toc21886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工具管理要求</w:t>
          </w:r>
          <w:r>
            <w:tab/>
          </w:r>
          <w:r>
            <w:fldChar w:fldCharType="begin"/>
          </w:r>
          <w:r>
            <w:instrText xml:space="preserve"> PAGEREF _Toc21886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_Toc9429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日常使用管理</w:t>
          </w:r>
          <w:r>
            <w:tab/>
          </w:r>
          <w:r>
            <w:fldChar w:fldCharType="begin"/>
          </w:r>
          <w:r>
            <w:instrText xml:space="preserve"> PAGEREF _Toc9429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_Toc24107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数据备份管理</w:t>
          </w:r>
          <w:r>
            <w:tab/>
          </w:r>
          <w:r>
            <w:fldChar w:fldCharType="begin"/>
          </w:r>
          <w:r>
            <w:instrText xml:space="preserve"> PAGEREF _Toc24107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_Toc28676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日常维护管理</w:t>
          </w:r>
          <w:r>
            <w:tab/>
          </w:r>
          <w:r>
            <w:fldChar w:fldCharType="begin"/>
          </w:r>
          <w:r>
            <w:instrText xml:space="preserve"> PAGEREF _Toc28676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_Toc9497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工具评估与改进</w:t>
          </w:r>
          <w:r>
            <w:tab/>
          </w:r>
          <w:r>
            <w:fldChar w:fldCharType="begin"/>
          </w:r>
          <w:r>
            <w:instrText xml:space="preserve"> PAGEREF _Toc9497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_Toc6512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定期评估</w:t>
          </w:r>
          <w:r>
            <w:tab/>
          </w:r>
          <w:r>
            <w:fldChar w:fldCharType="begin"/>
          </w:r>
          <w:r>
            <w:instrText xml:space="preserve"> PAGEREF _Toc6512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_Toc18264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持续改进</w:t>
          </w:r>
          <w:r>
            <w:tab/>
          </w:r>
          <w:r>
            <w:fldChar w:fldCharType="begin"/>
          </w:r>
          <w:r>
            <w:instrText xml:space="preserve"> PAGEREF _Toc18264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_Toc3011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_Toc3011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_Toc18250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附则</w:t>
          </w:r>
          <w:r>
            <w:tab/>
          </w:r>
          <w:r>
            <w:fldChar w:fldCharType="begin"/>
          </w:r>
          <w:r>
            <w:instrText xml:space="preserve"> PAGEREF _Toc18250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2" w:name="_Toc9887"/>
      <w:r>
        <w:rPr>
          <w:rFonts w:hint="default"/>
          <w:lang w:val="en-US" w:eastAsia="zh-CN"/>
        </w:rPr>
        <w:t>目的</w:t>
      </w:r>
      <w:bookmarkEnd w:id="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为规范公司运维工具的管理与使用，确保运维服务质量与效率，明确工具分类及管理职责，特制定本制度。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16553"/>
      <w:r>
        <w:rPr>
          <w:rFonts w:hint="default"/>
          <w:lang w:val="en-US" w:eastAsia="zh-CN"/>
        </w:rPr>
        <w:t>适用范围</w:t>
      </w:r>
      <w:bookmarkEnd w:id="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本制度适用于公司范围内所有运维工具及其使用、管理人员，涵盖过程管理工具、监控工具、专用工具三类。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4" w:name="_Toc5592"/>
      <w:r>
        <w:rPr>
          <w:rFonts w:hint="default"/>
          <w:lang w:val="en-US" w:eastAsia="zh-CN"/>
        </w:rPr>
        <w:t>定义与术语</w:t>
      </w:r>
      <w:bookmarkEnd w:id="4"/>
    </w:p>
    <w:p>
      <w:pPr>
        <w:pStyle w:val="2"/>
        <w:bidi w:val="0"/>
        <w:rPr>
          <w:rFonts w:hint="default"/>
          <w:lang w:val="en-US" w:eastAsia="zh-CN"/>
        </w:rPr>
      </w:pPr>
      <w:bookmarkStart w:id="5" w:name="_Toc15637"/>
      <w:r>
        <w:rPr>
          <w:rFonts w:hint="default"/>
          <w:lang w:val="en-US" w:eastAsia="zh-CN"/>
        </w:rPr>
        <w:t>运维过程管理工具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用于支撑运维服务流程执行、任务派发、过程跟踪、结果记录等的软件系统。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" w:name="_Toc24815"/>
      <w:r>
        <w:rPr>
          <w:rFonts w:hint="default"/>
          <w:lang w:val="en-US" w:eastAsia="zh-CN"/>
        </w:rPr>
        <w:t>运维监控工具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用于实时监控系统、网络、应用等运行状态，采集性能数据，进行告警与报告的工具。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7" w:name="_Toc16098"/>
      <w:r>
        <w:rPr>
          <w:rFonts w:hint="default"/>
          <w:lang w:val="en-US" w:eastAsia="zh-CN"/>
        </w:rPr>
        <w:t>运维专用工具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为特定运维场景或技术领域设计的专用软件或硬件工具，如日志分析工具、安全扫描工具等。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8" w:name="_Toc17911"/>
      <w:r>
        <w:rPr>
          <w:rFonts w:hint="default"/>
          <w:lang w:val="en-US" w:eastAsia="zh-CN"/>
        </w:rPr>
        <w:t>管理职责</w:t>
      </w:r>
      <w:bookmarkEnd w:id="8"/>
    </w:p>
    <w:p>
      <w:pPr>
        <w:pStyle w:val="2"/>
        <w:bidi w:val="0"/>
        <w:rPr>
          <w:rFonts w:hint="default"/>
          <w:lang w:val="en-US" w:eastAsia="zh-CN"/>
        </w:rPr>
      </w:pPr>
      <w:bookmarkStart w:id="9" w:name="_Toc5534"/>
      <w:r>
        <w:rPr>
          <w:rFonts w:hint="default"/>
          <w:lang w:val="en-US" w:eastAsia="zh-CN"/>
        </w:rPr>
        <w:t>运维管理部门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负责全公司运维工具的统一规划、选型、采购、部署与验收。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负责制定运维工具管理规范、操作流程与培训体系。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负责工具的日常维护、升级、备份与故障处理。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监督工具使用情况，定期开展使用效果评估与优化改进。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负责工具使用权限管理与安全控制。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24807"/>
      <w:r>
        <w:rPr>
          <w:rFonts w:hint="default"/>
          <w:lang w:val="en-US" w:eastAsia="zh-CN"/>
        </w:rPr>
        <w:t>工具使用人员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严格遵守工具操作规程与安全规定。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参与工具培训并通过考核后方可上岗操作。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及时反馈工具使用中遇到的问题与改进建议。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1" w:name="_Toc21886"/>
      <w:r>
        <w:rPr>
          <w:rFonts w:hint="default"/>
          <w:lang w:val="en-US" w:eastAsia="zh-CN"/>
        </w:rPr>
        <w:t>工具管理要求</w:t>
      </w:r>
      <w:bookmarkEnd w:id="11"/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9429"/>
      <w:r>
        <w:rPr>
          <w:rFonts w:hint="default"/>
          <w:lang w:val="en-US" w:eastAsia="zh-CN"/>
        </w:rPr>
        <w:t>日常使用管理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运维工具的安装与使用须经授权，禁止私自安装或使用未授权工具。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工具使用人员须接受相关培训并考核合格。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工具操作手册应及时更新，经评审后发布。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24107"/>
      <w:r>
        <w:rPr>
          <w:rFonts w:hint="default"/>
          <w:lang w:val="en-US" w:eastAsia="zh-CN"/>
        </w:rPr>
        <w:t>数据备份管理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定期备份系统数据、配置信息及业务数据，备份频率根据业务需求确定。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配置信息变更前必须进行备份。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备份数据应进行定期恢复验证。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28676"/>
      <w:r>
        <w:rPr>
          <w:rFonts w:hint="default"/>
          <w:lang w:val="en-US" w:eastAsia="zh-CN"/>
        </w:rPr>
        <w:t>日常维护管理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发现工具异常应立即上报，并记录故障现象与处理过程。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定期检查工具运行日志，识别异常或违规使用行为。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加强账号与口令管理，定期更换系统管理员密码，密码应具备一定复杂度。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5" w:name="_Toc9497"/>
      <w:r>
        <w:rPr>
          <w:rFonts w:hint="default"/>
          <w:lang w:val="en-US" w:eastAsia="zh-CN"/>
        </w:rPr>
        <w:t>工具评估与改进</w:t>
      </w:r>
      <w:bookmarkEnd w:id="15"/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6512"/>
      <w:r>
        <w:rPr>
          <w:rFonts w:hint="default"/>
          <w:lang w:val="en-US" w:eastAsia="zh-CN"/>
        </w:rPr>
        <w:t>定期评估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每年至少组织一次运维工具使用评估，形成评估报告，识别问题并提出优化建议。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18264"/>
      <w:r>
        <w:rPr>
          <w:rFonts w:hint="default"/>
          <w:lang w:val="en-US" w:eastAsia="zh-CN"/>
        </w:rPr>
        <w:t>持续改进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使用人员可随时提出工具功能、性能或安全方面的改进建议。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评估报告中的问题由运维管理部门组织分析，制定改进计划并推动落实。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重大改进方案需经评审后方可实施。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8" w:name="_Toc3011"/>
      <w:bookmarkStart w:id="19" w:name="_GoBack"/>
      <w:bookmarkEnd w:id="19"/>
      <w:r>
        <w:rPr>
          <w:rFonts w:hint="eastAsia"/>
          <w:lang w:val="en-US" w:eastAsia="zh-CN"/>
        </w:rPr>
        <w:t>考核指标</w:t>
      </w:r>
      <w:bookmarkEnd w:id="18"/>
    </w:p>
    <w:tbl>
      <w:tblPr>
        <w:tblStyle w:val="TableNormal"/>
        <w:tblW w:w="8504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1108"/>
        <w:gridCol w:w="5035"/>
        <w:gridCol w:w="926"/>
      </w:tblGrid>
      <w:tr>
        <w:tblPrEx>
          <w:tblW w:w="8504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5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8504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工具使用率</w:t>
            </w: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≥95%</w:t>
            </w:r>
          </w:p>
        </w:tc>
        <w:tc>
          <w:tcPr>
            <w:tcW w:w="5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（使用工具项目数/项目总数）*100%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>
      <w:pPr>
        <w:pStyle w:val="a1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20" w:name="_Toc18250"/>
      <w:r>
        <w:rPr>
          <w:rFonts w:hint="default"/>
          <w:lang w:val="en-US" w:eastAsia="zh-CN"/>
        </w:rPr>
        <w:t>附则</w:t>
      </w:r>
      <w:bookmarkEnd w:id="2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本制度自发布之日起执行，由运维管理部门负责解释与修订。</w:t>
      </w:r>
    </w:p>
    <w:sectPr>
      <w:headerReference w:type="default" r:id="rId7"/>
      <w:footerReference w:type="default" r:id="rId8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1117</Words>
  <Characters>1228</Characters>
  <Application>Microsoft Office Word</Application>
  <DocSecurity>0</DocSecurity>
  <Lines>0</Lines>
  <Paragraphs>0</Paragraphs>
  <ScaleCrop>false</ScaleCrop>
  <Company/>
  <LinksUpToDate>false</LinksUpToDate>
  <CharactersWithSpaces>1306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2026-05-06T19:21:44Z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