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30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471"/>
      <w:r>
        <w:rPr>
          <w:rFonts w:hint="eastAsia"/>
          <w:lang w:val="en-US" w:eastAsia="zh-CN"/>
        </w:rPr>
        <w:t>供应商管理制度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2" w:name="_GoBack"/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完善供应商考核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_Toc11306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_Toc10471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_Toc27624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采购部</w:t>
          </w:r>
          <w:r>
            <w:tab/>
          </w:r>
          <w:r>
            <w:fldChar w:fldCharType="begin"/>
          </w:r>
          <w:r>
            <w:instrText xml:space="preserve"> PAGEREF _Toc19629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_Toc15379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质量管理部</w:t>
          </w:r>
          <w:r>
            <w:tab/>
          </w:r>
          <w:r>
            <w:fldChar w:fldCharType="begin"/>
          </w:r>
          <w:r>
            <w:instrText xml:space="preserve"> PAGEREF _Toc20980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供应商准入标准</w:t>
          </w:r>
          <w:r>
            <w:tab/>
          </w:r>
          <w:r>
            <w:fldChar w:fldCharType="begin"/>
          </w:r>
          <w:r>
            <w:instrText xml:space="preserve"> PAGEREF _Toc22666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供应商资格审查</w:t>
          </w:r>
          <w:r>
            <w:tab/>
          </w:r>
          <w:r>
            <w:fldChar w:fldCharType="begin"/>
          </w:r>
          <w:r>
            <w:instrText xml:space="preserve"> PAGEREF _Toc20173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基本条件</w:t>
          </w:r>
          <w:r>
            <w:tab/>
          </w:r>
          <w:r>
            <w:fldChar w:fldCharType="begin"/>
          </w:r>
          <w:r>
            <w:instrText xml:space="preserve"> PAGEREF _Toc26083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审查流程</w:t>
          </w:r>
          <w:r>
            <w:tab/>
          </w:r>
          <w:r>
            <w:fldChar w:fldCharType="begin"/>
          </w:r>
          <w:r>
            <w:instrText xml:space="preserve"> PAGEREF _Toc11057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信息安全要求</w:t>
          </w:r>
          <w:r>
            <w:tab/>
          </w:r>
          <w:r>
            <w:fldChar w:fldCharType="begin"/>
          </w:r>
          <w:r>
            <w:instrText xml:space="preserve"> PAGEREF _Toc4874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合同管理</w:t>
          </w:r>
          <w:r>
            <w:tab/>
          </w:r>
          <w:r>
            <w:fldChar w:fldCharType="begin"/>
          </w:r>
          <w:r>
            <w:instrText xml:space="preserve"> PAGEREF _Toc28134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供应商评价</w:t>
          </w:r>
          <w:r>
            <w:tab/>
          </w:r>
          <w:r>
            <w:fldChar w:fldCharType="begin"/>
          </w:r>
          <w:r>
            <w:instrText xml:space="preserve"> PAGEREF _Toc14601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评价周期</w:t>
          </w:r>
          <w:r>
            <w:tab/>
          </w:r>
          <w:r>
            <w:fldChar w:fldCharType="begin"/>
          </w:r>
          <w:r>
            <w:instrText xml:space="preserve"> PAGEREF _Toc19370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评价内容</w:t>
          </w:r>
          <w:r>
            <w:tab/>
          </w:r>
          <w:r>
            <w:fldChar w:fldCharType="begin"/>
          </w:r>
          <w:r>
            <w:instrText xml:space="preserve"> PAGEREF _Toc25119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评价等级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评价流程</w:t>
          </w:r>
          <w:r>
            <w:tab/>
          </w:r>
          <w:r>
            <w:fldChar w:fldCharType="begin"/>
          </w:r>
          <w:r>
            <w:instrText xml:space="preserve"> PAGEREF _Toc14990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质量异常处理</w:t>
          </w:r>
          <w:r>
            <w:tab/>
          </w:r>
          <w:r>
            <w:fldChar w:fldCharType="begin"/>
          </w:r>
          <w:r>
            <w:instrText xml:space="preserve"> PAGEREF _Toc14162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供应商变更</w:t>
          </w:r>
          <w:r>
            <w:tab/>
          </w:r>
          <w:r>
            <w:fldChar w:fldCharType="begin"/>
          </w:r>
          <w:r>
            <w:instrText xml:space="preserve"> PAGEREF _Toc16575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10.1. </w:t>
          </w:r>
          <w:r>
            <w:t>变更类型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10.2. </w:t>
          </w:r>
          <w:r>
            <w:t>变更流程</w:t>
          </w:r>
          <w:r>
            <w:tab/>
          </w:r>
          <w:r>
            <w:fldChar w:fldCharType="begin"/>
          </w:r>
          <w:r>
            <w:instrText xml:space="preserve"> PAGEREF _Toc30645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_Toc20082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heading_3"/>
      <w:bookmarkStart w:id="4" w:name="_Toc7204"/>
      <w:r>
        <w:t>范围</w:t>
      </w:r>
      <w:bookmarkEnd w:id="3"/>
      <w:bookmarkEnd w:id="4"/>
    </w:p>
    <w:p>
      <w:pPr>
        <w:pStyle w:val="a2"/>
        <w:bidi w:val="0"/>
      </w:pPr>
      <w:r>
        <w:t>本制度规定了公司在采购、开发供应商、对供应商的日常管理考核方面的工作程序规范。</w:t>
      </w:r>
    </w:p>
    <w:p>
      <w:pPr>
        <w:pStyle w:val="a2"/>
        <w:bidi w:val="0"/>
      </w:pPr>
      <w:r>
        <w:t>本制度适用于公司运维服务过程中涉及的所有供应商，包括但不限于：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备品备件供应商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第三方维保服务商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软件开发与工具供应商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其他与运维业务相关的服务提供商</w:t>
      </w:r>
    </w:p>
    <w:p>
      <w:pPr>
        <w:pStyle w:val="1"/>
        <w:bidi w:val="0"/>
      </w:pPr>
      <w:bookmarkStart w:id="5" w:name="heading_4"/>
      <w:bookmarkStart w:id="6" w:name="_Toc28735"/>
      <w:r>
        <w:t>目的</w:t>
      </w:r>
      <w:bookmarkEnd w:id="5"/>
      <w:bookmarkEnd w:id="6"/>
    </w:p>
    <w:p>
      <w:pPr>
        <w:pStyle w:val="a2"/>
        <w:bidi w:val="0"/>
      </w:pPr>
      <w:r>
        <w:t>为有效评价和选择合格供应商，优化公司供应结构，完善公司供应体系，提高供应水平，确保供应商的供货质量、价格、交付能力能持续符合公司要求，并能提供优质的售后服务，保障公司运维服务的正常开展，特制定本制度。</w:t>
      </w:r>
    </w:p>
    <w:p>
      <w:pPr>
        <w:pStyle w:val="1"/>
        <w:bidi w:val="0"/>
      </w:pPr>
      <w:bookmarkStart w:id="7" w:name="heading_5"/>
      <w:bookmarkStart w:id="8" w:name="_Toc27624"/>
      <w:r>
        <w:t>职责</w:t>
      </w:r>
      <w:bookmarkEnd w:id="7"/>
      <w:bookmarkEnd w:id="8"/>
    </w:p>
    <w:p>
      <w:pPr>
        <w:pStyle w:val="2"/>
        <w:bidi w:val="0"/>
      </w:pPr>
      <w:bookmarkStart w:id="9" w:name="heading_6"/>
      <w:bookmarkStart w:id="10" w:name="_Toc19629"/>
      <w:r>
        <w:t>采购部</w:t>
      </w:r>
      <w:bookmarkEnd w:id="9"/>
      <w:bookmarkEnd w:id="10"/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负责采集供应商资料，对合格供应商进行日常管理考核。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对供应商的交货能力、价格、售后服务的准确性、真实性负责。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参与供应商资质评定、样品验证、供货质量管理及考核。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负责供应商合同的管理与归档。</w:t>
      </w:r>
    </w:p>
    <w:p>
      <w:pPr>
        <w:pStyle w:val="2"/>
        <w:bidi w:val="0"/>
      </w:pPr>
      <w:bookmarkStart w:id="11" w:name="_Toc15379"/>
      <w:bookmarkStart w:id="12" w:name="heading_7"/>
      <w:r>
        <w:t>运维部</w:t>
      </w:r>
      <w:bookmarkEnd w:id="11"/>
      <w:bookmarkEnd w:id="12"/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根据项目需要，向采购部推荐潜在供应商。</w:t>
      </w:r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参与供应商的技术能力评估。</w:t>
      </w:r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反馈供应商在运维服务过程中的实际表现。</w:t>
      </w:r>
    </w:p>
    <w:p>
      <w:pPr>
        <w:pStyle w:val="2"/>
        <w:bidi w:val="0"/>
      </w:pPr>
      <w:bookmarkStart w:id="13" w:name="heading_8"/>
      <w:bookmarkStart w:id="14" w:name="_Toc20980"/>
      <w:r>
        <w:t>质量管理部</w:t>
      </w:r>
      <w:bookmarkEnd w:id="13"/>
      <w:bookmarkEnd w:id="14"/>
    </w:p>
    <w:p>
      <w:pPr>
        <w:pStyle w:val="a4"/>
        <w:numPr>
          <w:ilvl w:val="0"/>
          <w:numId w:val="5"/>
        </w:numPr>
        <w:bidi w:val="0"/>
        <w:ind w:left="425" w:hanging="425" w:leftChars="0" w:firstLineChars="0"/>
      </w:pPr>
      <w:r>
        <w:t>参与供应商质量保证能力的评估。</w:t>
      </w:r>
    </w:p>
    <w:p>
      <w:pPr>
        <w:pStyle w:val="a4"/>
        <w:numPr>
          <w:ilvl w:val="0"/>
          <w:numId w:val="5"/>
        </w:numPr>
        <w:bidi w:val="0"/>
        <w:ind w:left="425" w:hanging="425" w:leftChars="0" w:firstLineChars="0"/>
      </w:pPr>
      <w:r>
        <w:t>监督供应商管理过程的合规性。</w:t>
      </w:r>
    </w:p>
    <w:p>
      <w:pPr>
        <w:pStyle w:val="1"/>
        <w:bidi w:val="0"/>
      </w:pPr>
      <w:bookmarkStart w:id="15" w:name="heading_9"/>
      <w:bookmarkStart w:id="16" w:name="_Toc22666"/>
      <w:r>
        <w:t>供应商准入标准</w:t>
      </w:r>
      <w:bookmarkEnd w:id="15"/>
      <w:bookmarkEnd w:id="16"/>
    </w:p>
    <w:p>
      <w:pPr>
        <w:pStyle w:val="a2"/>
        <w:bidi w:val="0"/>
      </w:pPr>
      <w:r>
        <w:t>采购部根据公司采购状况，负责不定期收集潜在供应商，采用多种方法寻找新供应商。</w:t>
      </w:r>
    </w:p>
    <w:p>
      <w:pPr>
        <w:pStyle w:val="a2"/>
        <w:bidi w:val="0"/>
      </w:pPr>
      <w:r>
        <w:t>运维部也可以根据部门规划及项目需要，向采购部推荐潜在供应商。选择潜在供应商时应综合考虑以下因素：</w:t>
      </w:r>
    </w:p>
    <w:p>
      <w:pPr>
        <w:pStyle w:val="a4"/>
        <w:numPr>
          <w:ilvl w:val="0"/>
          <w:numId w:val="6"/>
        </w:numPr>
        <w:bidi w:val="0"/>
      </w:pPr>
      <w:r>
        <w:t>主营业务与公司需求的匹配度</w:t>
      </w:r>
    </w:p>
    <w:p>
      <w:pPr>
        <w:pStyle w:val="a4"/>
        <w:numPr>
          <w:ilvl w:val="0"/>
          <w:numId w:val="6"/>
        </w:numPr>
        <w:bidi w:val="0"/>
      </w:pPr>
      <w:r>
        <w:t>地理位置与响应时效</w:t>
      </w:r>
    </w:p>
    <w:p>
      <w:pPr>
        <w:pStyle w:val="a4"/>
        <w:numPr>
          <w:ilvl w:val="0"/>
          <w:numId w:val="6"/>
        </w:numPr>
        <w:bidi w:val="0"/>
      </w:pPr>
      <w:r>
        <w:t>公司规模与行业口碑</w:t>
      </w:r>
    </w:p>
    <w:p>
      <w:pPr>
        <w:pStyle w:val="a4"/>
        <w:numPr>
          <w:ilvl w:val="0"/>
          <w:numId w:val="6"/>
        </w:numPr>
        <w:bidi w:val="0"/>
      </w:pPr>
      <w:r>
        <w:t>同类客户服务经验</w:t>
      </w:r>
    </w:p>
    <w:p>
      <w:pPr>
        <w:pStyle w:val="a4"/>
        <w:numPr>
          <w:ilvl w:val="0"/>
          <w:numId w:val="6"/>
        </w:numPr>
        <w:bidi w:val="0"/>
      </w:pPr>
      <w:r>
        <w:t>资信状况与履约能力</w:t>
      </w:r>
    </w:p>
    <w:p>
      <w:pPr>
        <w:pStyle w:val="1"/>
        <w:bidi w:val="0"/>
      </w:pPr>
      <w:bookmarkStart w:id="17" w:name="_Toc20173"/>
      <w:bookmarkStart w:id="18" w:name="heading_10"/>
      <w:r>
        <w:t>供应商资格审查</w:t>
      </w:r>
      <w:bookmarkEnd w:id="17"/>
      <w:bookmarkEnd w:id="18"/>
    </w:p>
    <w:p>
      <w:pPr>
        <w:pStyle w:val="a2"/>
        <w:bidi w:val="0"/>
      </w:pPr>
      <w:r>
        <w:t>潜在供应商的材料收集齐全后，由采购部组织相关部门对供应商进行资格审查。</w:t>
      </w:r>
    </w:p>
    <w:p>
      <w:pPr>
        <w:pStyle w:val="2"/>
        <w:bidi w:val="0"/>
      </w:pPr>
      <w:bookmarkStart w:id="19" w:name="heading_11"/>
      <w:bookmarkStart w:id="20" w:name="_Toc26083"/>
      <w:r>
        <w:t>基本条件</w:t>
      </w:r>
      <w:bookmarkEnd w:id="19"/>
      <w:bookmarkEnd w:id="20"/>
    </w:p>
    <w:p>
      <w:pPr>
        <w:pStyle w:val="a2"/>
        <w:bidi w:val="0"/>
      </w:pPr>
      <w:r>
        <w:t>供应商应具备以下基本条件：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依法成立的法人或其他组织；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成立时间原则上不少于一年；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在经营范围内开展业务，国家规定需要经营许可的，持有有效经营许可证；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具有法定的国家或行业资质；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具有良好的资信状况和履约能力。</w:t>
      </w:r>
    </w:p>
    <w:p>
      <w:pPr>
        <w:pStyle w:val="2"/>
        <w:bidi w:val="0"/>
      </w:pPr>
      <w:bookmarkStart w:id="21" w:name="heading_12"/>
      <w:bookmarkStart w:id="22" w:name="_Toc11057"/>
      <w:r>
        <w:t>审查流程</w:t>
      </w:r>
      <w:bookmarkEnd w:id="21"/>
      <w:bookmarkEnd w:id="22"/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采购部收集供应商资质材料（营业执照、资质证书、业绩证明等）。</w:t>
      </w:r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采购部组织运维部、质量管理部进行综合评估。</w:t>
      </w:r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评估通过后，填写《供方调查评价表》，报公司领导审批。</w:t>
      </w:r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审批通过后，纳入《合格供应商名录》。</w:t>
      </w:r>
    </w:p>
    <w:p>
      <w:pPr>
        <w:pStyle w:val="1"/>
        <w:bidi w:val="0"/>
      </w:pPr>
      <w:bookmarkStart w:id="23" w:name="_Toc4874"/>
      <w:bookmarkStart w:id="24" w:name="heading_13"/>
      <w:r>
        <w:t>信息安全要求</w:t>
      </w:r>
      <w:bookmarkEnd w:id="23"/>
      <w:bookmarkEnd w:id="24"/>
    </w:p>
    <w:p>
      <w:pPr>
        <w:pStyle w:val="a2"/>
        <w:bidi w:val="0"/>
      </w:pPr>
      <w:r>
        <w:t>公司应对供应商提出明确的信息安全要求，并按照公司相关安全管理规定进行管理：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供应商类型识别：确定和记录允许访问公司信息的供应商类型（如IT服务商、备件供应商、维保服务商等）。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访问权限控制：根据不同类型供应商，定义不同的信息访问类型，采取监视和访问控制手段；为供应商开放的访问权限应限于业务需要的最小权限，并设定有效期。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信息安全能力评估：对供应商的信息安全管理能力进行评估。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人员培训：针对与供应商人员交互的公司人员开展意识培训，明确基于供应商类型的参与规则和行为要求。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协议约定：在双方签订的协议中明确信息安全要求和控制措施；如对信息保密性有特殊要求，需签署保密协议。</w:t>
      </w:r>
    </w:p>
    <w:p>
      <w:pPr>
        <w:pStyle w:val="1"/>
        <w:bidi w:val="0"/>
      </w:pPr>
      <w:bookmarkStart w:id="25" w:name="heading_14"/>
      <w:bookmarkStart w:id="26" w:name="_Toc28134"/>
      <w:r>
        <w:t>合同管理</w:t>
      </w:r>
      <w:bookmarkEnd w:id="25"/>
      <w:bookmarkEnd w:id="26"/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采购部负责与供应商的合同和协议管理。经评审为合格供应商的，记录到《合格供应商名录》中。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所有签署的合同需经采购部、运维部、质量管理部及公司法务（如有）审核，报公司领导审批后方可签署盖章。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供应商提出合同变更时，必须在满足公司业务需求的前提下进行评审。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发生合同纠纷时，采购部应按照合同约定流程处理。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发生服务结束、服务提前终止或服务转移时，采购部应按照合同约定流程处理。</w:t>
      </w:r>
    </w:p>
    <w:p>
      <w:pPr>
        <w:pStyle w:val="1"/>
        <w:bidi w:val="0"/>
      </w:pPr>
      <w:bookmarkStart w:id="27" w:name="heading_15"/>
      <w:bookmarkStart w:id="28" w:name="_Toc14601"/>
      <w:r>
        <w:t>供应商评价</w:t>
      </w:r>
      <w:bookmarkEnd w:id="27"/>
      <w:bookmarkEnd w:id="28"/>
    </w:p>
    <w:p>
      <w:pPr>
        <w:pStyle w:val="2"/>
        <w:bidi w:val="0"/>
      </w:pPr>
      <w:bookmarkStart w:id="29" w:name="_Toc19370"/>
      <w:bookmarkStart w:id="30" w:name="heading_16"/>
      <w:r>
        <w:t>评价周期</w:t>
      </w:r>
      <w:bookmarkEnd w:id="29"/>
      <w:bookmarkEnd w:id="30"/>
    </w:p>
    <w:p>
      <w:pPr>
        <w:pStyle w:val="a2"/>
        <w:bidi w:val="0"/>
      </w:pPr>
      <w:r>
        <w:t>每年至少组织一次供应商评审。</w:t>
      </w:r>
    </w:p>
    <w:p>
      <w:pPr>
        <w:pStyle w:val="2"/>
        <w:bidi w:val="0"/>
      </w:pPr>
      <w:bookmarkStart w:id="31" w:name="_Toc25119"/>
      <w:bookmarkStart w:id="32" w:name="heading_17"/>
      <w:r>
        <w:t>评价内容</w:t>
      </w:r>
      <w:bookmarkEnd w:id="31"/>
      <w:bookmarkEnd w:id="32"/>
    </w:p>
    <w:p>
      <w:pPr>
        <w:pStyle w:val="a2"/>
        <w:bidi w:val="0"/>
      </w:pPr>
      <w:r>
        <w:t>供应商评价从以下方面进行：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12"/>
        <w:gridCol w:w="5702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评价维度</w:t>
            </w:r>
          </w:p>
        </w:tc>
        <w:tc>
          <w:tcPr>
            <w:tcW w:w="57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评价内容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备件合格率、故障率、稳定性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技术支持能力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技术响应时效、问题解决能力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合同执行能力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交付及时率、服务SLA达成情况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质量保证能力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质量管理体系、质量保证措施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售后服务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响应时效、服务态度、问题闭环率</w:t>
            </w:r>
          </w:p>
        </w:tc>
      </w:tr>
    </w:tbl>
    <w:p>
      <w:pPr>
        <w:pStyle w:val="2"/>
        <w:bidi w:val="0"/>
      </w:pPr>
      <w:bookmarkStart w:id="33" w:name="heading_18"/>
      <w:bookmarkStart w:id="34" w:name="_Toc29798"/>
      <w:r>
        <w:t>评价等级</w:t>
      </w:r>
      <w:bookmarkEnd w:id="33"/>
      <w:bookmarkEnd w:id="34"/>
    </w:p>
    <w:p>
      <w:pPr>
        <w:pStyle w:val="a2"/>
        <w:bidi w:val="0"/>
      </w:pPr>
      <w:r>
        <w:t>根据评价结果，将供应商分为以下等级：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39"/>
        <w:gridCol w:w="2051"/>
        <w:gridCol w:w="4524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205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得分范围</w:t>
            </w:r>
          </w:p>
        </w:tc>
        <w:tc>
          <w:tcPr>
            <w:tcW w:w="45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优秀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≥90分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表现卓越，优先合作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合格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75-89分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表现良好，正常合作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待改进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60-74分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需限期整改，减少合作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不合格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&lt;60分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取消合格供应商资格</w:t>
            </w:r>
          </w:p>
        </w:tc>
      </w:tr>
    </w:tbl>
    <w:p>
      <w:pPr>
        <w:pStyle w:val="2"/>
        <w:bidi w:val="0"/>
      </w:pPr>
      <w:bookmarkStart w:id="35" w:name="heading_19"/>
      <w:bookmarkStart w:id="36" w:name="_Toc14990"/>
      <w:r>
        <w:t>评价流程</w:t>
      </w:r>
      <w:bookmarkEnd w:id="35"/>
      <w:bookmarkEnd w:id="36"/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采购部发放《供应商评价表》。</w:t>
      </w:r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运维部、质量管理部根据实际合作情况进行评分。</w:t>
      </w:r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采购部汇总评价结果，形成《供应商评价报告》。</w:t>
      </w:r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评价结果报公司领导审批后，更新《合格供应商名录》。</w:t>
      </w:r>
    </w:p>
    <w:p>
      <w:pPr>
        <w:pStyle w:val="1"/>
        <w:bidi w:val="0"/>
      </w:pPr>
      <w:bookmarkStart w:id="37" w:name="heading_20"/>
      <w:bookmarkStart w:id="38" w:name="_Toc14162"/>
      <w:r>
        <w:t>质量异常处理</w:t>
      </w:r>
      <w:bookmarkEnd w:id="37"/>
      <w:bookmarkEnd w:id="38"/>
    </w:p>
    <w:p>
      <w:pPr>
        <w:pStyle w:val="a4"/>
        <w:numPr>
          <w:ilvl w:val="0"/>
          <w:numId w:val="12"/>
        </w:numPr>
        <w:bidi w:val="0"/>
        <w:ind w:left="425" w:hanging="425" w:leftChars="0" w:firstLineChars="0"/>
      </w:pPr>
      <w:r>
        <w:t>当发现合格供应商供货质量发生波动时，采购部应组织运维部、质量管理部进行验证，分析原因，提出改善措施，并由双方书面确认。</w:t>
      </w:r>
    </w:p>
    <w:p>
      <w:pPr>
        <w:pStyle w:val="a4"/>
        <w:numPr>
          <w:ilvl w:val="0"/>
          <w:numId w:val="12"/>
        </w:numPr>
        <w:bidi w:val="0"/>
        <w:ind w:left="425" w:hanging="425" w:leftChars="0" w:firstLineChars="0"/>
      </w:pPr>
      <w:r>
        <w:t>发生重大质量问题造成损失的，应按合同约定向供应商索赔。</w:t>
      </w:r>
    </w:p>
    <w:p>
      <w:pPr>
        <w:pStyle w:val="a4"/>
        <w:numPr>
          <w:ilvl w:val="0"/>
          <w:numId w:val="12"/>
        </w:numPr>
        <w:bidi w:val="0"/>
        <w:ind w:left="425" w:hanging="425" w:leftChars="0" w:firstLineChars="0"/>
      </w:pPr>
      <w:r>
        <w:t>经评审后整改不力、质量仍不稳定的，应取消其合格供应商资格。</w:t>
      </w:r>
    </w:p>
    <w:p>
      <w:pPr>
        <w:pStyle w:val="1"/>
        <w:bidi w:val="0"/>
      </w:pPr>
      <w:bookmarkStart w:id="39" w:name="heading_21"/>
      <w:bookmarkStart w:id="40" w:name="_Toc16575"/>
      <w:r>
        <w:t>供应商变更</w:t>
      </w:r>
      <w:bookmarkEnd w:id="39"/>
      <w:bookmarkEnd w:id="40"/>
    </w:p>
    <w:p>
      <w:pPr>
        <w:pStyle w:val="2"/>
        <w:bidi w:val="0"/>
      </w:pPr>
      <w:bookmarkStart w:id="41" w:name="_Toc7418"/>
      <w:bookmarkStart w:id="42" w:name="heading_22"/>
      <w:r>
        <w:t>变更类型</w:t>
      </w:r>
      <w:bookmarkEnd w:id="41"/>
      <w:bookmarkEnd w:id="42"/>
    </w:p>
    <w:p>
      <w:pPr>
        <w:pStyle w:val="a2"/>
        <w:bidi w:val="0"/>
      </w:pPr>
      <w:r>
        <w:t>需管理供应商服务提供的变更，包括以下三类：</w:t>
      </w:r>
    </w:p>
    <w:p>
      <w:pPr>
        <w:pStyle w:val="a2"/>
        <w:numPr>
          <w:ilvl w:val="0"/>
          <w:numId w:val="13"/>
        </w:numPr>
        <w:bidi w:val="0"/>
        <w:ind w:left="425" w:hanging="425" w:leftChars="0" w:firstLineChars="0"/>
      </w:pPr>
      <w:r>
        <w:t>供应商协议变更：服务内容、价格、SLA等条款的调整。</w:t>
      </w:r>
    </w:p>
    <w:p>
      <w:pPr>
        <w:pStyle w:val="a2"/>
        <w:numPr>
          <w:ilvl w:val="0"/>
          <w:numId w:val="13"/>
        </w:numPr>
        <w:bidi w:val="0"/>
        <w:ind w:left="425" w:hanging="425" w:leftChars="0" w:firstLineChars="0"/>
      </w:pPr>
      <w:r>
        <w:t>公司发起的变更：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对现有服务的加强或调整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新应用和系统的开发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组织策略和规程的更改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新的或变更的控制措施</w:t>
      </w:r>
    </w:p>
    <w:p>
      <w:pPr>
        <w:pStyle w:val="a4"/>
        <w:numPr>
          <w:ilvl w:val="0"/>
          <w:numId w:val="13"/>
        </w:numPr>
        <w:bidi w:val="0"/>
      </w:pPr>
      <w:r>
        <w:t>供应商发起的变更：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网络变更和加强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新技术的使用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新产品或新版本的采用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服务设施物理位置的变更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供应商自身变更（如并购、重组）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分包给其他供应商</w:t>
      </w:r>
    </w:p>
    <w:p>
      <w:pPr>
        <w:pStyle w:val="2"/>
        <w:bidi w:val="0"/>
      </w:pPr>
      <w:bookmarkStart w:id="43" w:name="_Toc30645"/>
      <w:bookmarkStart w:id="44" w:name="heading_23"/>
      <w:r>
        <w:t>变更流程</w:t>
      </w:r>
      <w:bookmarkEnd w:id="43"/>
      <w:bookmarkEnd w:id="44"/>
    </w:p>
    <w:p>
      <w:pPr>
        <w:pStyle w:val="a2"/>
        <w:bidi w:val="0"/>
      </w:pPr>
      <w:r>
        <w:t>所有变更需执行变更管理流程，经评估、审批后方可实施。</w:t>
      </w:r>
    </w:p>
    <w:p>
      <w:pPr>
        <w:pStyle w:val="1"/>
        <w:bidi w:val="0"/>
      </w:pPr>
      <w:bookmarkStart w:id="45" w:name="_Toc20082"/>
      <w:bookmarkStart w:id="46" w:name="heading_25"/>
      <w:r>
        <w:t>附则</w:t>
      </w:r>
      <w:bookmarkEnd w:id="45"/>
      <w:bookmarkEnd w:id="46"/>
    </w:p>
    <w:p>
      <w:pPr>
        <w:pStyle w:val="a4"/>
        <w:numPr>
          <w:ilvl w:val="0"/>
          <w:numId w:val="16"/>
        </w:numPr>
        <w:bidi w:val="0"/>
        <w:ind w:left="425" w:hanging="425" w:leftChars="0" w:firstLineChars="0"/>
      </w:pPr>
      <w:r>
        <w:t>本制度自发布之日起执行，由采购部负责解释与修订。</w:t>
      </w:r>
    </w:p>
    <w:p>
      <w:pPr>
        <w:pStyle w:val="a4"/>
        <w:numPr>
          <w:ilvl w:val="0"/>
          <w:numId w:val="16"/>
        </w:numPr>
        <w:bidi w:val="0"/>
        <w:ind w:left="425" w:hanging="425" w:leftChars="0" w:firstLineChars="0"/>
      </w:pPr>
      <w:r>
        <w:t>本制度与《备品备件管理制度》、《运维服务工具管理制度》等配套使用。</w:t>
      </w:r>
    </w:p>
    <w:p>
      <w:pPr>
        <w:pStyle w:val="a2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156CDA"/>
    <w:multiLevelType w:val="singleLevel"/>
    <w:tmpl w:val="80156C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11D453"/>
    <w:multiLevelType w:val="singleLevel"/>
    <w:tmpl w:val="8711D4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2EC2F7C"/>
    <w:multiLevelType w:val="singleLevel"/>
    <w:tmpl w:val="92EC2F7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3B1FBE0"/>
    <w:multiLevelType w:val="singleLevel"/>
    <w:tmpl w:val="93B1FBE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78A2459"/>
    <w:multiLevelType w:val="singleLevel"/>
    <w:tmpl w:val="A78A24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807A0E6"/>
    <w:multiLevelType w:val="singleLevel"/>
    <w:tmpl w:val="A807A0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3105CDB"/>
    <w:multiLevelType w:val="singleLevel"/>
    <w:tmpl w:val="B3105C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4653B09"/>
    <w:multiLevelType w:val="singleLevel"/>
    <w:tmpl w:val="D4653B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BC1941"/>
    <w:multiLevelType w:val="singleLevel"/>
    <w:tmpl w:val="DABC19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E2EB8EF"/>
    <w:multiLevelType w:val="singleLevel"/>
    <w:tmpl w:val="FE2EB8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616A1BF"/>
    <w:multiLevelType w:val="singleLevel"/>
    <w:tmpl w:val="0616A1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677D728"/>
    <w:multiLevelType w:val="singleLevel"/>
    <w:tmpl w:val="0677D7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6C4124A"/>
    <w:multiLevelType w:val="singleLevel"/>
    <w:tmpl w:val="06C412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89EE1C9"/>
    <w:multiLevelType w:val="singleLevel"/>
    <w:tmpl w:val="789EE1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A1D06F"/>
    <w:multiLevelType w:val="singleLevel"/>
    <w:tmpl w:val="7FA1D06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8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13"/>
  </w:num>
  <w:num w:numId="10">
    <w:abstractNumId w:val="10"/>
  </w:num>
  <w:num w:numId="11">
    <w:abstractNumId w:val="14"/>
  </w:num>
  <w:num w:numId="12">
    <w:abstractNumId w:val="6"/>
  </w:num>
  <w:num w:numId="13">
    <w:abstractNumId w:val="1"/>
  </w:num>
  <w:num w:numId="14">
    <w:abstractNumId w:val="4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2215</Words>
  <Characters>2345</Characters>
  <Application>Microsoft Office Word</Application>
  <DocSecurity>0</DocSecurity>
  <Lines>0</Lines>
  <Paragraphs>0</Paragraphs>
  <ScaleCrop>false</ScaleCrop>
  <Company/>
  <LinksUpToDate>false</LinksUpToDate>
  <CharactersWithSpaces>2391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