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73A25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952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7BD1A854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995"/>
      <w:r>
        <w:rPr>
          <w:rFonts w:hint="eastAsia"/>
          <w:lang w:val="en-US" w:eastAsia="zh-CN"/>
        </w:rPr>
        <w:t>运维服务能力改进管理制度</w:t>
      </w:r>
      <w:bookmarkEnd w:id="1"/>
    </w:p>
    <w:p w14:paraId="5DA34BA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D6BF4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E0BE9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03542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A3E6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E9005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9BE5C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6BF7AF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8134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80401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40B8A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6C6CB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273806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263458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578FE1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147E6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BD09C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7FA0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B64C3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0F8120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7238D3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4242E5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376A8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3E61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6B7340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</w:rPr>
              <w:t>茅建根</w:t>
            </w:r>
          </w:p>
        </w:tc>
        <w:tc>
          <w:tcPr>
            <w:tcW w:w="915" w:type="dxa"/>
          </w:tcPr>
          <w:p w14:paraId="5A21E8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96958F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38813B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00CF17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67A4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完善持续改进</w:t>
            </w:r>
          </w:p>
        </w:tc>
        <w:tc>
          <w:tcPr>
            <w:tcW w:w="1829" w:type="dxa"/>
            <w:shd w:val="clear" w:color="auto" w:fill="auto"/>
          </w:tcPr>
          <w:p w14:paraId="6E8E22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5C50AB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pacing w:val="0"/>
                <w:kern w:val="0"/>
                <w:sz w:val="20"/>
                <w:szCs w:val="20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64A75B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0F7C8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0EF3CB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869729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3983F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6F4677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A9DE7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13C69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A0B9A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776AE4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6C4CCA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4FFF52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3A3FE1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F1F5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79C06D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91BFD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81B0C3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3B7D3A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_Toc29524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2C621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运维服务能力改进管理制度</w:t>
          </w:r>
          <w:r>
            <w:tab/>
          </w:r>
          <w:r>
            <w:fldChar w:fldCharType="begin"/>
          </w:r>
          <w:r>
            <w:instrText xml:space="preserve"> PAGEREF _Toc13995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4C11C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_Toc30129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FE4BC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_Toc21807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37B8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_Toc31218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822BB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_Toc14119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管理目标</w:t>
          </w:r>
          <w:r>
            <w:tab/>
          </w:r>
          <w:r>
            <w:fldChar w:fldCharType="begin"/>
          </w:r>
          <w:r>
            <w:instrText xml:space="preserve"> PAGEREF _Toc14119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A290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 术语定义</w:t>
          </w:r>
          <w:r>
            <w:tab/>
          </w:r>
          <w:r>
            <w:fldChar w:fldCharType="begin"/>
          </w:r>
          <w:r>
            <w:instrText xml:space="preserve"> PAGEREF _Toc23935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F62D1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_Toc28480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3FC5D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质量管理部</w:t>
          </w:r>
          <w:r>
            <w:tab/>
          </w:r>
          <w:r>
            <w:fldChar w:fldCharType="begin"/>
          </w:r>
          <w:r>
            <w:instrText xml:space="preserve"> PAGEREF _Toc3988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9E8E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_Toc16897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运维部</w:t>
          </w:r>
          <w:r>
            <w:tab/>
          </w:r>
          <w:r>
            <w:fldChar w:fldCharType="begin"/>
          </w:r>
          <w:r>
            <w:instrText xml:space="preserve"> PAGEREF _Toc16897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9A331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研发部</w:t>
          </w:r>
          <w:r>
            <w:tab/>
          </w:r>
          <w:r>
            <w:fldChar w:fldCharType="begin"/>
          </w:r>
          <w:r>
            <w:instrText xml:space="preserve"> PAGEREF _Toc29675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D4DD9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人力资源部</w:t>
          </w:r>
          <w:r>
            <w:tab/>
          </w:r>
          <w:r>
            <w:fldChar w:fldCharType="begin"/>
          </w:r>
          <w:r>
            <w:instrText xml:space="preserve"> PAGEREF _Toc14409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0649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2.5. 应急管理部</w:t>
          </w:r>
          <w:r>
            <w:tab/>
          </w:r>
          <w:r>
            <w:fldChar w:fldCharType="begin"/>
          </w:r>
          <w:r>
            <w:instrText xml:space="preserve"> PAGEREF _Toc31693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8145CB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管理者代表</w:t>
          </w:r>
          <w:r>
            <w:tab/>
          </w:r>
          <w:r>
            <w:fldChar w:fldCharType="begin"/>
          </w:r>
          <w:r>
            <w:instrText xml:space="preserve"> PAGEREF _Toc25238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1174E1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2.7.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_Toc12465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EE4D6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改进管理流程</w:t>
          </w:r>
          <w:r>
            <w:tab/>
          </w:r>
          <w:r>
            <w:fldChar w:fldCharType="begin"/>
          </w:r>
          <w:r>
            <w:instrText xml:space="preserve"> PAGEREF _Toc15274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7E429E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改进机会识别</w:t>
          </w:r>
          <w:r>
            <w:tab/>
          </w:r>
          <w:r>
            <w:fldChar w:fldCharType="begin"/>
          </w:r>
          <w:r>
            <w:instrText xml:space="preserve"> PAGEREF _Toc1234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B353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改进建议提交与评估</w:t>
          </w:r>
          <w:r>
            <w:tab/>
          </w:r>
          <w:r>
            <w:fldChar w:fldCharType="begin"/>
          </w:r>
          <w:r>
            <w:instrText xml:space="preserve"> PAGEREF _Toc19794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29B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_Toc8540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改进计划制定与审批</w:t>
          </w:r>
          <w:r>
            <w:tab/>
          </w:r>
          <w:r>
            <w:fldChar w:fldCharType="begin"/>
          </w:r>
          <w:r>
            <w:instrText xml:space="preserve"> PAGEREF _Toc8540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1B3F2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_Toc4177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3.3.1. 计划制定</w:t>
          </w:r>
          <w:r>
            <w:tab/>
          </w:r>
          <w:r>
            <w:fldChar w:fldCharType="begin"/>
          </w:r>
          <w:r>
            <w:instrText xml:space="preserve"> PAGEREF _Toc4177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71F36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3.3.2. 审批</w:t>
          </w:r>
          <w:r>
            <w:tab/>
          </w:r>
          <w:r>
            <w:fldChar w:fldCharType="begin"/>
          </w:r>
          <w:r>
            <w:instrText xml:space="preserve"> PAGEREF _Toc26404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1444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改进措施实施与跟踪</w:t>
          </w:r>
          <w:r>
            <w:tab/>
          </w:r>
          <w:r>
            <w:fldChar w:fldCharType="begin"/>
          </w:r>
          <w:r>
            <w:instrText xml:space="preserve"> PAGEREF _Toc2245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3D39B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_Toc15881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改进效果验证与关闭</w:t>
          </w:r>
          <w:r>
            <w:tab/>
          </w:r>
          <w:r>
            <w:fldChar w:fldCharType="begin"/>
          </w:r>
          <w:r>
            <w:instrText xml:space="preserve"> PAGEREF _Toc15881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E7820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3.6. 知识管理与固化</w:t>
          </w:r>
          <w:r>
            <w:tab/>
          </w:r>
          <w:r>
            <w:fldChar w:fldCharType="begin"/>
          </w:r>
          <w:r>
            <w:instrText xml:space="preserve"> PAGEREF _Toc27254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E9D8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_Toc28783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改进的分类与分级</w:t>
          </w:r>
          <w:r>
            <w:tab/>
          </w:r>
          <w:r>
            <w:fldChar w:fldCharType="begin"/>
          </w:r>
          <w:r>
            <w:instrText xml:space="preserve"> PAGEREF _Toc28783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7F64A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持续改进文化</w:t>
          </w:r>
          <w:r>
            <w:tab/>
          </w:r>
          <w:r>
            <w:fldChar w:fldCharType="begin"/>
          </w:r>
          <w:r>
            <w:instrText xml:space="preserve"> PAGEREF _Toc11512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4E229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_Toc31599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EF05B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1D5C8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933C8A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30129"/>
      <w:r>
        <w:rPr>
          <w:rFonts w:hint="default"/>
          <w:lang w:val="en-US" w:eastAsia="zh-CN"/>
        </w:rPr>
        <w:t>总则</w:t>
      </w:r>
      <w:bookmarkEnd w:id="2"/>
    </w:p>
    <w:p w14:paraId="2E18BAE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21807"/>
      <w:r>
        <w:rPr>
          <w:rFonts w:hint="default"/>
          <w:lang w:val="en-US" w:eastAsia="zh-CN"/>
        </w:rPr>
        <w:t>目的</w:t>
      </w:r>
      <w:bookmarkEnd w:id="3"/>
    </w:p>
    <w:p w14:paraId="44848E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系统化、规范化的运维服务能力改进机制，确保桐乡华数广电网络有限公司（以下简称“公司”）能够主动识别、有效评估、快速实施并验证各类改进机会，形成持续改进的闭环，从而不断提升运维服务效率、质量、客户满意度及核心竞争力，特制定本制度。</w:t>
      </w:r>
    </w:p>
    <w:p w14:paraId="306AA99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31218"/>
      <w:r>
        <w:rPr>
          <w:rFonts w:hint="default"/>
          <w:lang w:val="en-US" w:eastAsia="zh-CN"/>
        </w:rPr>
        <w:t>适用范围</w:t>
      </w:r>
      <w:bookmarkEnd w:id="4"/>
    </w:p>
    <w:p w14:paraId="4A8544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本制度适用于公司范围内所有与</w:t>
      </w:r>
      <w:bookmarkStart w:id="28" w:name="_GoBack"/>
      <w:bookmarkEnd w:id="28"/>
      <w:r>
        <w:rPr>
          <w:rFonts w:hint="default"/>
          <w:lang w:val="en-US" w:eastAsia="zh-CN"/>
        </w:rPr>
        <w:t>运维服务能力相关的改进活动，包括但不限于对运维流程、技术工具、人员技能、资源配置、管理体系及应急机制等方面的改进。覆盖部门包括运维部、研发部、</w:t>
      </w:r>
      <w:r>
        <w:rPr>
          <w:rFonts w:hint="eastAsia"/>
          <w:lang w:val="en-US" w:eastAsia="zh-CN"/>
        </w:rPr>
        <w:t>采购部、</w:t>
      </w:r>
      <w:r>
        <w:rPr>
          <w:rFonts w:hint="default"/>
          <w:lang w:val="en-US" w:eastAsia="zh-CN"/>
        </w:rPr>
        <w:t>质量管理部、人力资源部及应急管理部。</w:t>
      </w:r>
    </w:p>
    <w:p w14:paraId="055870C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14119"/>
      <w:r>
        <w:rPr>
          <w:rFonts w:hint="default"/>
          <w:lang w:val="en-US" w:eastAsia="zh-CN"/>
        </w:rPr>
        <w:t>管理目标</w:t>
      </w:r>
      <w:bookmarkEnd w:id="5"/>
    </w:p>
    <w:p w14:paraId="5D0F4AC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确保改进活动有章可循、有据可查。</w:t>
      </w:r>
    </w:p>
    <w:p w14:paraId="30D5DA8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形成从问题发现到措施验证的完整管理闭环。</w:t>
      </w:r>
    </w:p>
    <w:p w14:paraId="48E88F9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促进组织学习与知识积累。</w:t>
      </w:r>
    </w:p>
    <w:p w14:paraId="60E5D32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确保持续改进成为公司运维服务管理的常态化工作。</w:t>
      </w:r>
    </w:p>
    <w:p w14:paraId="0CEE26E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3935"/>
      <w:r>
        <w:rPr>
          <w:rFonts w:hint="default"/>
          <w:lang w:val="en-US" w:eastAsia="zh-CN"/>
        </w:rPr>
        <w:t>术语定义</w:t>
      </w:r>
      <w:bookmarkEnd w:id="6"/>
    </w:p>
    <w:p w14:paraId="3C23831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改进机会：指任何可能提升服务效率、质量、安全性、客户满意度或降低成本的问题、需求、建议或创新想法。</w:t>
      </w:r>
    </w:p>
    <w:p w14:paraId="376EEA2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改进项：经正式评估和审批后，纳入计划并分配资源进行实施的改进机会。</w:t>
      </w:r>
    </w:p>
    <w:p w14:paraId="7CFC376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改进关闭：改进措施实施完成，且效果经过验证达到预期目标的状态。</w:t>
      </w:r>
    </w:p>
    <w:p w14:paraId="69B083B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28480"/>
      <w:r>
        <w:rPr>
          <w:rFonts w:hint="default"/>
          <w:lang w:val="en-US" w:eastAsia="zh-CN"/>
        </w:rPr>
        <w:t>组织与职责</w:t>
      </w:r>
      <w:bookmarkEnd w:id="7"/>
    </w:p>
    <w:p w14:paraId="160C789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988"/>
      <w:r>
        <w:rPr>
          <w:rFonts w:hint="default"/>
          <w:lang w:val="en-US" w:eastAsia="zh-CN"/>
        </w:rPr>
        <w:t>质量管理部</w:t>
      </w:r>
      <w:bookmarkEnd w:id="8"/>
    </w:p>
    <w:p w14:paraId="6C7364A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作为改进管理的归口部门，负责本制度的维护与解释。</w:t>
      </w:r>
    </w:p>
    <w:p w14:paraId="073F33A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接收、初审、分发来自各渠道的改进建议。</w:t>
      </w:r>
    </w:p>
    <w:p w14:paraId="0164E50F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组织跨部门改进项的评估与优先级排序。</w:t>
      </w:r>
    </w:p>
    <w:p w14:paraId="4374338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监督改进计划的执行与进度跟踪。</w:t>
      </w:r>
    </w:p>
    <w:p w14:paraId="608DD2E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组织或参与重大改进项的效果验证。</w:t>
      </w:r>
    </w:p>
    <w:p w14:paraId="2102E9D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维护《公司改进项跟踪台账》及知识库中的改进案例。</w:t>
      </w:r>
    </w:p>
    <w:p w14:paraId="77FBE25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16897"/>
      <w:r>
        <w:rPr>
          <w:rFonts w:hint="default"/>
          <w:lang w:val="en-US" w:eastAsia="zh-CN"/>
        </w:rPr>
        <w:t>运维部</w:t>
      </w:r>
      <w:bookmarkEnd w:id="9"/>
    </w:p>
    <w:p w14:paraId="1640956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负责识别并提交服务交付、事件/问题管理、服务请求履行等日常运营过程中的改进机会。</w:t>
      </w:r>
    </w:p>
    <w:p w14:paraId="619F2D2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负责实施与本部门职责相关的改进措施。</w:t>
      </w:r>
    </w:p>
    <w:p w14:paraId="2439B56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参与改进效果的评估与反馈。</w:t>
      </w:r>
    </w:p>
    <w:p w14:paraId="4BC12E5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29675"/>
      <w:r>
        <w:rPr>
          <w:rFonts w:hint="default"/>
          <w:lang w:val="en-US" w:eastAsia="zh-CN"/>
        </w:rPr>
        <w:t>研发部</w:t>
      </w:r>
      <w:bookmarkEnd w:id="10"/>
    </w:p>
    <w:p w14:paraId="05DAFC3D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负责识别并提交技术架构、工具平台、自动化脚本、解决方案等方面的技术改进与创新机会。</w:t>
      </w:r>
    </w:p>
    <w:p w14:paraId="1EBE80F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负责实施技术类改进项的研发与部署。</w:t>
      </w:r>
    </w:p>
    <w:p w14:paraId="59ADE7E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为其他部门的改进措施提供技术可行性分析与支持。</w:t>
      </w:r>
    </w:p>
    <w:p w14:paraId="28C3515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4409"/>
      <w:r>
        <w:rPr>
          <w:rFonts w:hint="default"/>
          <w:lang w:val="en-US" w:eastAsia="zh-CN"/>
        </w:rPr>
        <w:t>人力资源部</w:t>
      </w:r>
      <w:bookmarkEnd w:id="11"/>
    </w:p>
    <w:p w14:paraId="1D816DE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负责识别并提交人员培训、技能发展、绩效考核、团队建设等人力资源方面的改进机会。</w:t>
      </w:r>
    </w:p>
    <w:p w14:paraId="4EFAE61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负责实施人员能力发展相关的改进措施。</w:t>
      </w:r>
    </w:p>
    <w:p w14:paraId="25CB806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31693"/>
      <w:r>
        <w:rPr>
          <w:rFonts w:hint="default"/>
          <w:lang w:val="en-US" w:eastAsia="zh-CN"/>
        </w:rPr>
        <w:t>应急管理部</w:t>
      </w:r>
      <w:bookmarkEnd w:id="12"/>
    </w:p>
    <w:p w14:paraId="2760628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负责识别并提交应急预案、演练效果、应急响应流程等方面的改进机会。</w:t>
      </w:r>
    </w:p>
    <w:p w14:paraId="62023B5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负责实施应急响应能力的改进措施。</w:t>
      </w:r>
    </w:p>
    <w:p w14:paraId="0B63BDC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25238"/>
      <w:r>
        <w:rPr>
          <w:rFonts w:hint="eastAsia"/>
          <w:lang w:val="en-US" w:eastAsia="zh-CN"/>
        </w:rPr>
        <w:t>管理者代表</w:t>
      </w:r>
      <w:bookmarkEnd w:id="13"/>
    </w:p>
    <w:p w14:paraId="4BB4CD5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负责审批重大改进项或涉及重大资源投入的改进计划。</w:t>
      </w:r>
    </w:p>
    <w:p w14:paraId="61DE30B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听取改进管理工作的整体汇报，倡导持续改进文化。</w:t>
      </w:r>
    </w:p>
    <w:p w14:paraId="679A905D">
      <w:pPr>
        <w:pStyle w:val="30"/>
        <w:bidi w:val="0"/>
        <w:rPr>
          <w:rFonts w:hint="eastAsia"/>
          <w:lang w:val="en-US" w:eastAsia="zh-CN"/>
        </w:rPr>
      </w:pPr>
      <w:bookmarkStart w:id="14" w:name="_Toc25603"/>
      <w:bookmarkStart w:id="15" w:name="_Toc12465"/>
      <w:r>
        <w:rPr>
          <w:rFonts w:hint="eastAsia"/>
          <w:lang w:val="en-US" w:eastAsia="zh-CN"/>
        </w:rPr>
        <w:t>采购部</w:t>
      </w:r>
      <w:bookmarkEnd w:id="14"/>
      <w:bookmarkEnd w:id="15"/>
    </w:p>
    <w:p w14:paraId="21FE47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资源获取保障：作为运维服务能力建设的资源支撑部门，负责根据年度能力策划要求，实施运维工具、备件及第三方维保服务的采购工作。</w:t>
      </w:r>
    </w:p>
    <w:p w14:paraId="2659DB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供应商管理：负责建立和维护合格供应商名录，定期对提供运维支撑的供应商（如硬件厂商、集成商等）进行服务质量评估与考核，确保外部资源持续满足公司运维能力要求。</w:t>
      </w:r>
    </w:p>
    <w:p w14:paraId="3B9674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合同与交付管理：负责采购合同的签订与履行监控，确保供应商交付的资源（备件、软件授权等）符合合同约定的质量标准及服务级别协议（SLA）。</w:t>
      </w:r>
    </w:p>
    <w:p w14:paraId="18C5E2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5274"/>
      <w:r>
        <w:rPr>
          <w:rFonts w:hint="default"/>
          <w:lang w:val="en-US" w:eastAsia="zh-CN"/>
        </w:rPr>
        <w:t>改进管理流程</w:t>
      </w:r>
      <w:bookmarkEnd w:id="16"/>
    </w:p>
    <w:p w14:paraId="1C44B92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234"/>
      <w:r>
        <w:rPr>
          <w:rFonts w:hint="default"/>
          <w:lang w:val="en-US" w:eastAsia="zh-CN"/>
        </w:rPr>
        <w:t>改进机会识别</w:t>
      </w:r>
      <w:bookmarkEnd w:id="17"/>
    </w:p>
    <w:p w14:paraId="477FB12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改进机会可通过以下渠道识别：</w:t>
      </w:r>
    </w:p>
    <w:p w14:paraId="7DA36F79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服务回顾会议：项目复盘、月度/季度服务评审会。</w:t>
      </w:r>
    </w:p>
    <w:p w14:paraId="6F383174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监控与分析：服务质量指标（SLA/KPI）未达标、事件趋势分析。</w:t>
      </w:r>
    </w:p>
    <w:p w14:paraId="6EF334C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审计与检查：内部审核、管理评审、外部评估发现的不符合项。</w:t>
      </w:r>
    </w:p>
    <w:p w14:paraId="10DBD4E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客户与用户反馈：满意度调查、投诉、建议。</w:t>
      </w:r>
    </w:p>
    <w:p w14:paraId="04EC02C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员工建议：一线运维人员、技术专家的合理化建议。</w:t>
      </w:r>
    </w:p>
    <w:p w14:paraId="087C6B1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技术发展：行业新技术、新工具、新方法的应用评估。</w:t>
      </w:r>
    </w:p>
    <w:p w14:paraId="4B385FC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战略规划分解：从公司战略和年度能力管理计划中衍生出的改进要求。</w:t>
      </w:r>
    </w:p>
    <w:p w14:paraId="718D74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19794"/>
      <w:r>
        <w:rPr>
          <w:rFonts w:hint="default"/>
          <w:lang w:val="en-US" w:eastAsia="zh-CN"/>
        </w:rPr>
        <w:t>改进建议提交与评估</w:t>
      </w:r>
      <w:bookmarkEnd w:id="18"/>
    </w:p>
    <w:p w14:paraId="6560101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提交：建议人通过公司指定的系统或表单提交《改进建议单》，清晰描述改进背景、现状问题、初步建议及期望收益。</w:t>
      </w:r>
    </w:p>
    <w:p w14:paraId="1573BFB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初审：质量管理部在收到建议后，进行初步筛选与分类，判断其完整性及是否属于改进范畴。</w:t>
      </w:r>
    </w:p>
    <w:p w14:paraId="12FCA05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评估：根据改进建议的影响范围，由质量管理部组织或责成相关部门负责人进行评估。评估内容包括：改进的必要性、紧急性、预期效益、所需资源、实施复杂度及潜在风险。</w:t>
      </w:r>
    </w:p>
    <w:p w14:paraId="3362A19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决策：评估后形成结论：立即采纳、纳入后续计划、需补充信息或不予采纳。结论及理由需反馈至建议人。</w:t>
      </w:r>
    </w:p>
    <w:p w14:paraId="096E3EA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8540"/>
      <w:r>
        <w:rPr>
          <w:rFonts w:hint="default"/>
          <w:lang w:val="en-US" w:eastAsia="zh-CN"/>
        </w:rPr>
        <w:t>改进计划制定与审批</w:t>
      </w:r>
      <w:bookmarkEnd w:id="19"/>
    </w:p>
    <w:p w14:paraId="4ACFFD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4177"/>
      <w:r>
        <w:rPr>
          <w:rFonts w:hint="default"/>
          <w:lang w:val="en-US" w:eastAsia="zh-CN"/>
        </w:rPr>
        <w:t>计划制定</w:t>
      </w:r>
      <w:bookmarkEnd w:id="20"/>
    </w:p>
    <w:p w14:paraId="47FE6D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对于决定采纳的改进项，由责任部门制定详细的《改进实施计划》，明确改进目标、范围、具体措施、责任人与完成时限、验收标准及所需资源。</w:t>
      </w:r>
    </w:p>
    <w:p w14:paraId="0DA87D7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26404"/>
      <w:r>
        <w:rPr>
          <w:rFonts w:hint="default"/>
          <w:lang w:val="en-US" w:eastAsia="zh-CN"/>
        </w:rPr>
        <w:t>审批</w:t>
      </w:r>
      <w:bookmarkEnd w:id="21"/>
    </w:p>
    <w:p w14:paraId="5260DA7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一般改进项：由责任部门负责人批准。</w:t>
      </w:r>
    </w:p>
    <w:p w14:paraId="686EAC08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重大改进项（涉及跨部门协作、重大资源投入或高风险变更）：由质量管理部审核后，报公司管理层批准。</w:t>
      </w:r>
    </w:p>
    <w:p w14:paraId="38058B7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2245"/>
      <w:r>
        <w:rPr>
          <w:rFonts w:hint="default"/>
          <w:lang w:val="en-US" w:eastAsia="zh-CN"/>
        </w:rPr>
        <w:t>改进措施实施与跟踪</w:t>
      </w:r>
      <w:bookmarkEnd w:id="22"/>
    </w:p>
    <w:p w14:paraId="54B8D4C5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实施：责任部门按照批准的《改进实施计划》执行改进措施。</w:t>
      </w:r>
    </w:p>
    <w:p w14:paraId="238103F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跟踪：质量管理部通过《公司改进项跟踪台账》，定期（如每月）跟踪各项改进的实施进度，协调解决跨部门问题，并向管理层报告整体状态（如：计划中、进行中、已延期、已完成、已关闭）。</w:t>
      </w:r>
    </w:p>
    <w:p w14:paraId="4A265D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5881"/>
      <w:r>
        <w:rPr>
          <w:rFonts w:hint="default"/>
          <w:lang w:val="en-US" w:eastAsia="zh-CN"/>
        </w:rPr>
        <w:t>改进效果验证与关闭</w:t>
      </w:r>
      <w:bookmarkEnd w:id="23"/>
    </w:p>
    <w:p w14:paraId="72E0DA70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验证：改进措施完成后，由质量管理部会同责任部门及相关方，依据《改进实施计划》中的验收标准，对改进效果进行验证。验证方式可包括数据对比、测试、评审会议等。</w:t>
      </w:r>
    </w:p>
    <w:p w14:paraId="11F500A3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关闭：验证达到预期目标的改进项，由质量管理部在台账中标记为“已关闭”，并记录最终效果和主要经验。</w:t>
      </w:r>
    </w:p>
    <w:p w14:paraId="616954F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未达到预期目标的改进项，由质量管理部组织责任部门进行根因分析，重新制定改进措施或调整目标后再次实施；若两次实施仍未达标，需提交管理层审议是否终止或变更改进方向。</w:t>
      </w:r>
    </w:p>
    <w:p w14:paraId="24D3A5A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</w:p>
    <w:p w14:paraId="34D4FD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7254"/>
      <w:r>
        <w:rPr>
          <w:rFonts w:hint="default"/>
          <w:lang w:val="en-US" w:eastAsia="zh-CN"/>
        </w:rPr>
        <w:t>知识管理与固化</w:t>
      </w:r>
      <w:bookmarkEnd w:id="24"/>
    </w:p>
    <w:p w14:paraId="37E661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已关闭的改进项，特别是效果显著的改进案例，应由责任部门整理成标准操作程序（SOP）、技术规范、培训材料或最佳实践案例，经质量管理部审核后，纳入公司服务知识库，供全员学习和推广，实现改进成果的固化与共享。</w:t>
      </w:r>
    </w:p>
    <w:p w14:paraId="72066D4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8783"/>
      <w:r>
        <w:rPr>
          <w:rFonts w:hint="default"/>
          <w:lang w:val="en-US" w:eastAsia="zh-CN"/>
        </w:rPr>
        <w:t>改进的分类与分级</w:t>
      </w:r>
      <w:bookmarkEnd w:id="25"/>
    </w:p>
    <w:p w14:paraId="128E1B3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按性质分类：流程优化类、技术工具类、人员技能类、管理机制类、应急能力类。</w:t>
      </w:r>
    </w:p>
    <w:p w14:paraId="561622D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按影响分级：</w:t>
      </w:r>
    </w:p>
    <w:p w14:paraId="096185B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重大改进：需管理层审批，跨部门项目，投入资源多。</w:t>
      </w:r>
    </w:p>
    <w:p w14:paraId="477E1EB1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一般改进：部门内可决策并实施。</w:t>
      </w:r>
    </w:p>
    <w:p w14:paraId="2B44E57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日常优化：可通过快速通道（如团队站会）直接处理并记录。</w:t>
      </w:r>
    </w:p>
    <w:p w14:paraId="10BF475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11512"/>
      <w:r>
        <w:rPr>
          <w:rFonts w:hint="default"/>
          <w:lang w:val="en-US" w:eastAsia="zh-CN"/>
        </w:rPr>
        <w:t>持续改进文化</w:t>
      </w:r>
      <w:bookmarkEnd w:id="26"/>
    </w:p>
    <w:p w14:paraId="5F5615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公司倡导和鼓励全员参与改进。对提出有价值改进建议或在改进实施中贡献突出的团队及个人，将依据公司相关规定给予认可或奖励。</w:t>
      </w:r>
    </w:p>
    <w:p w14:paraId="65D19CC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31599"/>
      <w:r>
        <w:rPr>
          <w:rFonts w:hint="default"/>
          <w:lang w:val="en-US" w:eastAsia="zh-CN"/>
        </w:rPr>
        <w:t>附则</w:t>
      </w:r>
      <w:bookmarkEnd w:id="27"/>
    </w:p>
    <w:p w14:paraId="7341AEF9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本制度由质量管理部负责解释和修订。</w:t>
      </w:r>
    </w:p>
    <w:p w14:paraId="33E8A054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本制度自发布之日起正式实施，相关记录表单由质量管理部统一发布。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CD2356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C22752"/>
    <w:multiLevelType w:val="singleLevel"/>
    <w:tmpl w:val="43C227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D1B387B"/>
    <w:rsid w:val="25B41573"/>
    <w:rsid w:val="2A41096D"/>
    <w:rsid w:val="31B371D3"/>
    <w:rsid w:val="355552CD"/>
    <w:rsid w:val="412C3256"/>
    <w:rsid w:val="41354774"/>
    <w:rsid w:val="4A1221CB"/>
    <w:rsid w:val="5B9B5880"/>
    <w:rsid w:val="5CCF2DB7"/>
    <w:rsid w:val="66C33EDD"/>
    <w:rsid w:val="7F65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2648</Words>
  <Characters>2792</Characters>
  <Lines>0</Lines>
  <Paragraphs>0</Paragraphs>
  <TotalTime>0</TotalTime>
  <ScaleCrop>false</ScaleCrop>
  <LinksUpToDate>false</LinksUpToDate>
  <CharactersWithSpaces>2898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2026-04-24T22:16:52Z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