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3E1E9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74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7EF68F7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4941"/>
      <w:r>
        <w:rPr>
          <w:rFonts w:hint="eastAsia"/>
          <w:lang w:val="en-US" w:eastAsia="zh-CN"/>
        </w:rPr>
        <w:t>运维服务质量改进管理制度</w:t>
      </w:r>
      <w:bookmarkEnd w:id="1"/>
    </w:p>
    <w:p w14:paraId="6A55E23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BD592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48A41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7CE834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46B39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2C576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C3D5C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A1A39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AB511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43032A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23CACC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C0F904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492DBF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69EF0D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318D21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5EE737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617A8C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A8EA8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30A631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19619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4FDE42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2022.06.20</w:t>
            </w:r>
          </w:p>
        </w:tc>
        <w:tc>
          <w:tcPr>
            <w:tcW w:w="972" w:type="dxa"/>
          </w:tcPr>
          <w:p w14:paraId="4E44EF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2447F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3D8E6D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</w:tcPr>
          <w:p w14:paraId="0C5257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55672D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6F5D6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36C4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71637D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 w14:paraId="34BFC2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完善知识固化与推广</w:t>
            </w:r>
          </w:p>
        </w:tc>
        <w:tc>
          <w:tcPr>
            <w:tcW w:w="1829" w:type="dxa"/>
          </w:tcPr>
          <w:p w14:paraId="127016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</w:tcPr>
          <w:p w14:paraId="25510D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784B92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2085D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230D25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D44DD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61859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7F0E7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0928C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6537F8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1C9F4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8E122A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BE05B1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0F0804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4BD9C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5C741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29732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A86117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0"/>
          <w:szCs w:val="20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ED3422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0"/>
              <w:szCs w:val="20"/>
            </w:rPr>
          </w:pPr>
          <w:r>
            <w:rPr>
              <w:rFonts w:hint="eastAsia" w:ascii="宋体" w:hAnsi="宋体" w:eastAsia="宋体" w:cs="宋体"/>
              <w:sz w:val="20"/>
              <w:szCs w:val="20"/>
            </w:rPr>
            <w:t>目录</w:t>
          </w:r>
        </w:p>
        <w:p w14:paraId="11E752C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0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 w:val="20"/>
              <w:szCs w:val="20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0"/>
              <w:szCs w:val="20"/>
            </w:rPr>
            <w:fldChar w:fldCharType="separate"/>
          </w: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_Toc744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_Toc744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CDE705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_Toc24941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运维服务质量改进管理制度</w:t>
          </w:r>
          <w:r>
            <w:tab/>
          </w:r>
          <w:r>
            <w:fldChar w:fldCharType="begin"/>
          </w:r>
          <w:r>
            <w:instrText xml:space="preserve"> PAGEREF _Toc24941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0EDDD39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_Toc78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497FD01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_Toc20106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_Toc20106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523034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_Toc5293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_Toc5293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5D1613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_Toc23407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_Toc23407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0E8A62B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_Toc30874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_Toc30874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65B1D2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_Toc22006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_Toc22006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5DA6C64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_Toc17336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2.2. 质量管理部经理</w:t>
          </w:r>
          <w:r>
            <w:tab/>
          </w:r>
          <w:r>
            <w:fldChar w:fldCharType="begin"/>
          </w:r>
          <w:r>
            <w:instrText xml:space="preserve"> PAGEREF _Toc17336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E022AC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_Toc15268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2.3. 质量管理专员</w:t>
          </w:r>
          <w:r>
            <w:tab/>
          </w:r>
          <w:r>
            <w:fldChar w:fldCharType="begin"/>
          </w:r>
          <w:r>
            <w:instrText xml:space="preserve"> PAGEREF _Toc15268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49780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_Toc22588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2.4. 各业务与职能部门</w:t>
          </w:r>
          <w:r>
            <w:tab/>
          </w:r>
          <w:r>
            <w:fldChar w:fldCharType="begin"/>
          </w:r>
          <w:r>
            <w:instrText xml:space="preserve"> PAGEREF _Toc22588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9ABA3D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_Toc23950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3. 改进机会的来源与识别</w:t>
          </w:r>
          <w:r>
            <w:tab/>
          </w:r>
          <w:r>
            <w:fldChar w:fldCharType="begin"/>
          </w:r>
          <w:r>
            <w:instrText xml:space="preserve"> PAGEREF _Toc23950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3AF73C3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_Toc17335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 质量改进管理流程</w:t>
          </w:r>
          <w:r>
            <w:tab/>
          </w:r>
          <w:r>
            <w:fldChar w:fldCharType="begin"/>
          </w:r>
          <w:r>
            <w:instrText xml:space="preserve"> PAGEREF _Toc17335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37A5F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_Toc22671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4.1. 改进提议与立项</w:t>
          </w:r>
          <w:r>
            <w:tab/>
          </w:r>
          <w:r>
            <w:fldChar w:fldCharType="begin"/>
          </w:r>
          <w:r>
            <w:instrText xml:space="preserve"> PAGEREF _Toc22671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0AE7F2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_Toc1788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4.2. 原因分析与计划制定</w:t>
          </w:r>
          <w:r>
            <w:tab/>
          </w:r>
          <w:r>
            <w:fldChar w:fldCharType="begin"/>
          </w:r>
          <w:r>
            <w:instrText xml:space="preserve"> PAGEREF _Toc1788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420B5F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_Toc11273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4.3. 改进措施实施</w:t>
          </w:r>
          <w:r>
            <w:tab/>
          </w:r>
          <w:r>
            <w:fldChar w:fldCharType="begin"/>
          </w:r>
          <w:r>
            <w:instrText xml:space="preserve"> PAGEREF _Toc11273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5EE3950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_Toc1622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4.4. 效果验证与评估</w:t>
          </w:r>
          <w:r>
            <w:tab/>
          </w:r>
          <w:r>
            <w:fldChar w:fldCharType="begin"/>
          </w:r>
          <w:r>
            <w:instrText xml:space="preserve"> PAGEREF _Toc1622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FCF44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_Toc19394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4.5. 知识固化与推广</w:t>
          </w:r>
          <w:r>
            <w:tab/>
          </w:r>
          <w:r>
            <w:fldChar w:fldCharType="begin"/>
          </w:r>
          <w:r>
            <w:instrText xml:space="preserve"> PAGEREF _Toc19394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316F27E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_Toc11383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5. 与其他管理流程的衔接</w:t>
          </w:r>
          <w:r>
            <w:tab/>
          </w:r>
          <w:r>
            <w:fldChar w:fldCharType="begin"/>
          </w:r>
          <w:r>
            <w:instrText xml:space="preserve"> PAGEREF _Toc11383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0660DD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_Toc11679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_Toc11679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5AE65FA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</w:sdtContent>
    </w:sdt>
    <w:p w14:paraId="39FD891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8765CC1">
      <w:pPr>
        <w:pStyle w:val="28"/>
        <w:bidi w:val="0"/>
        <w:rPr>
          <w:rFonts w:hint="default"/>
          <w:lang w:val="en-US" w:eastAsia="zh-CN"/>
        </w:rPr>
      </w:pPr>
      <w:bookmarkStart w:id="2" w:name="_Toc78"/>
      <w:r>
        <w:rPr>
          <w:rFonts w:hint="default"/>
          <w:lang w:val="en-US" w:eastAsia="zh-CN"/>
        </w:rPr>
        <w:t>总则</w:t>
      </w:r>
      <w:bookmarkEnd w:id="2"/>
    </w:p>
    <w:p w14:paraId="12DA8A29">
      <w:pPr>
        <w:pStyle w:val="30"/>
        <w:bidi w:val="0"/>
        <w:rPr>
          <w:rFonts w:hint="default"/>
          <w:lang w:val="en-US" w:eastAsia="zh-CN"/>
        </w:rPr>
      </w:pPr>
      <w:bookmarkStart w:id="3" w:name="_Toc20106"/>
      <w:r>
        <w:rPr>
          <w:rFonts w:hint="default"/>
          <w:lang w:val="en-US" w:eastAsia="zh-CN"/>
        </w:rPr>
        <w:t>目的</w:t>
      </w:r>
      <w:bookmarkEnd w:id="3"/>
    </w:p>
    <w:p w14:paraId="6C9069C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为建立系统、规范的质量改进管理机制，确保公司运维服务在质量策划、实施、检查、改进（PDCA）的循环中持续提升，有效应对内外部审核、客户反馈及日常运营中发现的问题，特制定本制度。</w:t>
      </w:r>
    </w:p>
    <w:p w14:paraId="1A254B83">
      <w:pPr>
        <w:pStyle w:val="30"/>
        <w:bidi w:val="0"/>
        <w:rPr>
          <w:rFonts w:hint="default"/>
          <w:lang w:val="en-US" w:eastAsia="zh-CN"/>
        </w:rPr>
      </w:pPr>
      <w:bookmarkStart w:id="4" w:name="_Toc5293"/>
      <w:r>
        <w:rPr>
          <w:rFonts w:hint="default"/>
          <w:lang w:val="en-US" w:eastAsia="zh-CN"/>
        </w:rPr>
        <w:t>适用范围</w:t>
      </w:r>
      <w:bookmarkEnd w:id="4"/>
    </w:p>
    <w:p w14:paraId="76DECE4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本制度适用于公司范围内所有与</w:t>
      </w:r>
      <w:bookmarkStart w:id="20" w:name="_GoBack"/>
      <w:bookmarkEnd w:id="20"/>
      <w:r>
        <w:rPr>
          <w:rFonts w:hint="default"/>
          <w:lang w:val="en-US" w:eastAsia="zh-CN"/>
        </w:rPr>
        <w:t>运维服务质量相关的改进活动的识别、评审、实施、验证和知识固化过程。涉及部门包括运维部、研发部、人力资源部、质量管理部及应急管理部。</w:t>
      </w:r>
    </w:p>
    <w:p w14:paraId="40B034BF">
      <w:pPr>
        <w:pStyle w:val="30"/>
        <w:bidi w:val="0"/>
        <w:rPr>
          <w:rFonts w:hint="default"/>
          <w:lang w:val="en-US" w:eastAsia="zh-CN"/>
        </w:rPr>
      </w:pPr>
      <w:bookmarkStart w:id="5" w:name="_Toc23407"/>
      <w:r>
        <w:rPr>
          <w:rFonts w:hint="default"/>
          <w:lang w:val="en-US" w:eastAsia="zh-CN"/>
        </w:rPr>
        <w:t>原则</w:t>
      </w:r>
      <w:bookmarkEnd w:id="5"/>
    </w:p>
    <w:p w14:paraId="490D98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预防为主，持续改进： 强调主动识别改进机会，而不仅限于问题纠正，致力于服务管理与交付过程的持续优化。</w:t>
      </w:r>
    </w:p>
    <w:p w14:paraId="5633FCF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数据驱动，科学决策： 改进活动应基于客观的数据分析和事实证据，确保改进方向正确、措施有效。</w:t>
      </w:r>
    </w:p>
    <w:p w14:paraId="32974E1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系统管理，闭环运行： 改进活动需遵循从识别、分析、计划、实施到验证和标准化的完整闭环流程。</w:t>
      </w:r>
    </w:p>
    <w:p w14:paraId="4552D94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全员参与，跨部门协作： 鼓励全体员工及相关方提出改进建议，重大改进项目需明确跨部门职责与协作机制。</w:t>
      </w:r>
    </w:p>
    <w:p w14:paraId="29CC903E">
      <w:pPr>
        <w:pStyle w:val="28"/>
        <w:bidi w:val="0"/>
        <w:rPr>
          <w:rFonts w:hint="default"/>
          <w:lang w:val="en-US" w:eastAsia="zh-CN"/>
        </w:rPr>
      </w:pPr>
      <w:bookmarkStart w:id="6" w:name="_Toc30874"/>
      <w:r>
        <w:rPr>
          <w:rFonts w:hint="default"/>
          <w:lang w:val="en-US" w:eastAsia="zh-CN"/>
        </w:rPr>
        <w:t>组织与职责</w:t>
      </w:r>
      <w:bookmarkEnd w:id="6"/>
    </w:p>
    <w:p w14:paraId="03558D4D">
      <w:pPr>
        <w:pStyle w:val="30"/>
        <w:bidi w:val="0"/>
        <w:rPr>
          <w:rFonts w:hint="default"/>
          <w:lang w:val="en-US" w:eastAsia="zh-CN"/>
        </w:rPr>
      </w:pPr>
      <w:bookmarkStart w:id="7" w:name="_Toc22006"/>
      <w:r>
        <w:rPr>
          <w:rFonts w:hint="default"/>
          <w:lang w:val="en-US" w:eastAsia="zh-CN"/>
        </w:rPr>
        <w:t>质量管理部</w:t>
      </w:r>
      <w:bookmarkEnd w:id="7"/>
    </w:p>
    <w:p w14:paraId="6006D11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作为质量改进管理的归口部门，负责本制度的维护与解释。</w:t>
      </w:r>
    </w:p>
    <w:p w14:paraId="1ABC63F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负责组织公司级改进机会的收集、评审与立项。</w:t>
      </w:r>
    </w:p>
    <w:p w14:paraId="00F34EF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负责监控、协调和验证重大改进措施的实施效果。</w:t>
      </w:r>
    </w:p>
    <w:p w14:paraId="472152F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负责组织改进成果的知识转移与经验分享。</w:t>
      </w:r>
    </w:p>
    <w:p w14:paraId="02B7C478">
      <w:pPr>
        <w:pStyle w:val="30"/>
        <w:bidi w:val="0"/>
        <w:rPr>
          <w:rFonts w:hint="default"/>
          <w:lang w:val="en-US" w:eastAsia="zh-CN"/>
        </w:rPr>
      </w:pPr>
      <w:bookmarkStart w:id="8" w:name="_Toc17336"/>
      <w:r>
        <w:rPr>
          <w:rFonts w:hint="default"/>
          <w:lang w:val="en-US" w:eastAsia="zh-CN"/>
        </w:rPr>
        <w:t>质量管理部经理</w:t>
      </w:r>
      <w:bookmarkEnd w:id="8"/>
    </w:p>
    <w:p w14:paraId="3B6154D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负责审批《质量改进项目立项申请》及《改进实施计划》。</w:t>
      </w:r>
    </w:p>
    <w:p w14:paraId="43007D4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负责组织改进项目的阶段性评审与结项验收。</w:t>
      </w:r>
    </w:p>
    <w:p w14:paraId="41529D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负责向公司管理层报告质量改进的整体状况与成效。</w:t>
      </w:r>
    </w:p>
    <w:p w14:paraId="258781E2">
      <w:pPr>
        <w:pStyle w:val="30"/>
        <w:bidi w:val="0"/>
        <w:rPr>
          <w:rFonts w:hint="default"/>
          <w:lang w:val="en-US" w:eastAsia="zh-CN"/>
        </w:rPr>
      </w:pPr>
      <w:bookmarkStart w:id="9" w:name="_Toc15268"/>
      <w:r>
        <w:rPr>
          <w:rFonts w:hint="default"/>
          <w:lang w:val="en-US" w:eastAsia="zh-CN"/>
        </w:rPr>
        <w:t>质量管理专员</w:t>
      </w:r>
      <w:bookmarkEnd w:id="9"/>
    </w:p>
    <w:p w14:paraId="65B2E5C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负责日常改进建议的收集、初步筛选与登记。</w:t>
      </w:r>
    </w:p>
    <w:p w14:paraId="0EE919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负责跟踪已立项改进项目的实施进度，并协助解决跨部门协调问题。</w:t>
      </w:r>
    </w:p>
    <w:p w14:paraId="5237918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负责组织改进项目结项后的效果验证，并归档相关记录。</w:t>
      </w:r>
    </w:p>
    <w:p w14:paraId="0D884A6B">
      <w:pPr>
        <w:pStyle w:val="30"/>
        <w:bidi w:val="0"/>
        <w:rPr>
          <w:rFonts w:hint="default"/>
          <w:lang w:val="en-US" w:eastAsia="zh-CN"/>
        </w:rPr>
      </w:pPr>
      <w:bookmarkStart w:id="10" w:name="_Toc22588"/>
      <w:r>
        <w:rPr>
          <w:rFonts w:hint="default"/>
          <w:lang w:val="en-US" w:eastAsia="zh-CN"/>
        </w:rPr>
        <w:t>各业务与职能部门</w:t>
      </w:r>
      <w:bookmarkEnd w:id="10"/>
    </w:p>
    <w:p w14:paraId="6FB33A7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负责本部门职责范围内改进机会的识别与提议。</w:t>
      </w:r>
    </w:p>
    <w:p w14:paraId="0770BA1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作为改进措施的责任部门，负责制定具体的实施计划并执行。</w:t>
      </w:r>
    </w:p>
    <w:p w14:paraId="77F81A8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负责向质量管理部反馈改进措施的实施进展与结果。</w:t>
      </w:r>
    </w:p>
    <w:p w14:paraId="449CF429">
      <w:pPr>
        <w:pStyle w:val="28"/>
        <w:bidi w:val="0"/>
        <w:rPr>
          <w:rFonts w:hint="default"/>
          <w:lang w:val="en-US" w:eastAsia="zh-CN"/>
        </w:rPr>
      </w:pPr>
      <w:bookmarkStart w:id="11" w:name="_Toc23950"/>
      <w:r>
        <w:rPr>
          <w:rFonts w:hint="default"/>
          <w:lang w:val="en-US" w:eastAsia="zh-CN"/>
        </w:rPr>
        <w:t>改进机会的来源与识别</w:t>
      </w:r>
      <w:bookmarkEnd w:id="11"/>
    </w:p>
    <w:p w14:paraId="7BF8B55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质量改进机会应系统性地从以下渠道进行识别与收集：</w:t>
      </w:r>
    </w:p>
    <w:p w14:paraId="5EFA20D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客户反馈：客户满意度调查、日常沟通、投诉与建议中反映的问题和期望。</w:t>
      </w:r>
    </w:p>
    <w:p w14:paraId="4D8AEB6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内部审核与管理评审：内部审核、管理评审中识别的不符合项、观察项及改进决议。</w:t>
      </w:r>
    </w:p>
    <w:p w14:paraId="1D9D10B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服务过程监控：对服务级别协议（SLA）、关键绩效指标（KPI）的监控数据分析，发现的未达标项或绩效趋势下滑。</w:t>
      </w:r>
    </w:p>
    <w:p w14:paraId="6AF526A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事件与问题分析：对重大事件、重复发生问题的根本原因分析结论。</w:t>
      </w:r>
    </w:p>
    <w:p w14:paraId="3E37729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战略与业务变化：公司战略调整、新技术引入、业务范围变化带来的新要求。</w:t>
      </w:r>
    </w:p>
    <w:p w14:paraId="7CA85F2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员工建议：全体员工提出的合理化改进建议。</w:t>
      </w:r>
    </w:p>
    <w:p w14:paraId="22A57B0B">
      <w:pPr>
        <w:pStyle w:val="28"/>
        <w:bidi w:val="0"/>
        <w:rPr>
          <w:rFonts w:hint="default"/>
          <w:lang w:val="en-US" w:eastAsia="zh-CN"/>
        </w:rPr>
      </w:pPr>
      <w:bookmarkStart w:id="12" w:name="_Toc17335"/>
      <w:r>
        <w:rPr>
          <w:rFonts w:hint="default"/>
          <w:lang w:val="en-US" w:eastAsia="zh-CN"/>
        </w:rPr>
        <w:t>质量改进管理流程</w:t>
      </w:r>
      <w:bookmarkEnd w:id="12"/>
    </w:p>
    <w:p w14:paraId="0515472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本流程遵循“识别-评审-计划-实施-验证-固化”的闭环管理模型。</w:t>
      </w:r>
    </w:p>
    <w:p w14:paraId="3420E389">
      <w:pPr>
        <w:pStyle w:val="30"/>
        <w:bidi w:val="0"/>
        <w:rPr>
          <w:rFonts w:hint="default"/>
          <w:lang w:val="en-US" w:eastAsia="zh-CN"/>
        </w:rPr>
      </w:pPr>
      <w:bookmarkStart w:id="13" w:name="_Toc22671"/>
      <w:r>
        <w:rPr>
          <w:rFonts w:hint="default"/>
          <w:lang w:val="en-US" w:eastAsia="zh-CN"/>
        </w:rPr>
        <w:t>改进提议与立项</w:t>
      </w:r>
      <w:bookmarkEnd w:id="13"/>
    </w:p>
    <w:p w14:paraId="312A6CE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任何部门或个人均可通过规定的渠道提交《质量改进建议表》。</w:t>
      </w:r>
    </w:p>
    <w:p w14:paraId="1B0729F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质量管理部定期（如每季度）组织对收集到的改进建议进行初步评审，评估其必要性、紧迫性和潜在价值。</w:t>
      </w:r>
    </w:p>
    <w:p w14:paraId="6C08947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对于需跨部门协调、资源投入较大或影响深远的改进建议，由提议部门或质量管理部编写《质量改进项目立项申请》，明确改进目标、范围、初步方案、资源需求及预期效益，报质量管理部经理审批。</w:t>
      </w:r>
    </w:p>
    <w:p w14:paraId="39A5243C">
      <w:pPr>
        <w:pStyle w:val="30"/>
        <w:bidi w:val="0"/>
        <w:rPr>
          <w:rFonts w:hint="default"/>
          <w:lang w:val="en-US" w:eastAsia="zh-CN"/>
        </w:rPr>
      </w:pPr>
      <w:bookmarkStart w:id="14" w:name="_Toc1788"/>
      <w:r>
        <w:rPr>
          <w:rFonts w:hint="default"/>
          <w:lang w:val="en-US" w:eastAsia="zh-CN"/>
        </w:rPr>
        <w:t>原因分析与计划制定</w:t>
      </w:r>
      <w:bookmarkEnd w:id="14"/>
    </w:p>
    <w:p w14:paraId="04653F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改进项目立项后，由责任部门对需改进的问题进行根本原因分析。</w:t>
      </w:r>
    </w:p>
    <w:p w14:paraId="5555763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基于原因分析结果，责任部门制定详细的《改进实施计划》，内容包括：具体改进措施、实施步骤、责任人与完成时限、所需资源、验证方法及风险应对措施。</w:t>
      </w:r>
    </w:p>
    <w:p w14:paraId="2A1B9D0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《改进实施计划》需经质量管理部经理审核批准。</w:t>
      </w:r>
    </w:p>
    <w:p w14:paraId="18EDCAAA">
      <w:pPr>
        <w:pStyle w:val="30"/>
        <w:bidi w:val="0"/>
        <w:rPr>
          <w:rFonts w:hint="default"/>
          <w:lang w:val="en-US" w:eastAsia="zh-CN"/>
        </w:rPr>
      </w:pPr>
      <w:bookmarkStart w:id="15" w:name="_Toc11273"/>
      <w:r>
        <w:rPr>
          <w:rFonts w:hint="default"/>
          <w:lang w:val="en-US" w:eastAsia="zh-CN"/>
        </w:rPr>
        <w:t>改进措施实施</w:t>
      </w:r>
      <w:bookmarkEnd w:id="15"/>
    </w:p>
    <w:p w14:paraId="60A0D6C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责任部门按照批准的《改进实施计划》组织资源，严格执行各项改进措施。</w:t>
      </w:r>
    </w:p>
    <w:p w14:paraId="204EF6D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质量管理专员负责跟踪改进项目的实施进度，定期向质量管理部经理汇报，并协调解决实施过程中的障碍。</w:t>
      </w:r>
    </w:p>
    <w:p w14:paraId="6C43A3D1">
      <w:pPr>
        <w:pStyle w:val="30"/>
        <w:bidi w:val="0"/>
        <w:rPr>
          <w:rFonts w:hint="default"/>
          <w:lang w:val="en-US" w:eastAsia="zh-CN"/>
        </w:rPr>
      </w:pPr>
      <w:bookmarkStart w:id="16" w:name="_Toc1622"/>
      <w:r>
        <w:rPr>
          <w:rFonts w:hint="default"/>
          <w:lang w:val="en-US" w:eastAsia="zh-CN"/>
        </w:rPr>
        <w:t>效果验证与评估</w:t>
      </w:r>
      <w:bookmarkEnd w:id="16"/>
    </w:p>
    <w:p w14:paraId="3A2458A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改进措施完成后，由责任部门收集相关数据，进行自我验证，并形成初步结论。</w:t>
      </w:r>
    </w:p>
    <w:p w14:paraId="7CF7AE9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质量管理部组织（或委托质量管理专员）对改进效果进行独立验证。验证应依据立项时设定的目标，通过数据对比、测试、评审等方式进行。</w:t>
      </w:r>
    </w:p>
    <w:p w14:paraId="190EA03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验证通过后，形成《质量改进项目结项报告》，报质量管理部经理审批。验证未通过的，需重新分析原因并制定新的改进措施，循环此流程。</w:t>
      </w:r>
    </w:p>
    <w:p w14:paraId="64BC43CC">
      <w:pPr>
        <w:pStyle w:val="30"/>
        <w:bidi w:val="0"/>
        <w:rPr>
          <w:rFonts w:hint="default"/>
          <w:lang w:val="en-US" w:eastAsia="zh-CN"/>
        </w:rPr>
      </w:pPr>
      <w:bookmarkStart w:id="17" w:name="_Toc19394"/>
      <w:r>
        <w:rPr>
          <w:rFonts w:hint="default"/>
          <w:lang w:val="en-US" w:eastAsia="zh-CN"/>
        </w:rPr>
        <w:t>知识固化与推广</w:t>
      </w:r>
      <w:bookmarkEnd w:id="17"/>
    </w:p>
    <w:p w14:paraId="49AFB94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所有成功结项的改进项目，其有效的措施、方法、最佳实践及经验教训，应由责任部门整理成知识文档</w:t>
      </w:r>
      <w:r>
        <w:rPr>
          <w:rFonts w:hint="eastAsia"/>
          <w:lang w:val="en-US" w:eastAsia="zh-CN"/>
        </w:rPr>
        <w:t>。</w:t>
      </w:r>
    </w:p>
    <w:p w14:paraId="3543AE8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知识文档经相关部门评审后，由质量管理部协调，纳入公司服务知识库或相关管理体系文件。</w:t>
      </w:r>
    </w:p>
    <w:p w14:paraId="60E0D7C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必要时，组织相关的培训或经验分享会，确保改进成果在组织内得到有效传播和应用。</w:t>
      </w:r>
    </w:p>
    <w:p w14:paraId="16F2281C">
      <w:pPr>
        <w:pStyle w:val="28"/>
        <w:bidi w:val="0"/>
        <w:rPr>
          <w:rFonts w:hint="default"/>
          <w:lang w:val="en-US" w:eastAsia="zh-CN"/>
        </w:rPr>
      </w:pPr>
      <w:bookmarkStart w:id="18" w:name="_Toc11383"/>
      <w:r>
        <w:rPr>
          <w:rFonts w:hint="default"/>
          <w:lang w:val="en-US" w:eastAsia="zh-CN"/>
        </w:rPr>
        <w:t>与其他管理流程的衔接</w:t>
      </w:r>
      <w:bookmarkEnd w:id="18"/>
    </w:p>
    <w:p w14:paraId="052C155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与客户满意度管理衔接：客户满意度调查分析报告中识别的待改进项，应直接作为本制度的重要输入，启动改进流程。</w:t>
      </w:r>
    </w:p>
    <w:p w14:paraId="4BD2E67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与内部审核/管理评审衔接：内部审核发现的不符合项及管理评审输出的改进决议，必须按照本制度的要求制定纠正与预防措施计划，并跟踪闭环。</w:t>
      </w:r>
    </w:p>
    <w:p w14:paraId="18D524C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与服务交付流程衔接：日常运维服务中通过事件、问题管理流程识别的系统性改进机会，应提报至本流程进行处理。</w:t>
      </w:r>
    </w:p>
    <w:p w14:paraId="66F2A5B7">
      <w:pPr>
        <w:pStyle w:val="28"/>
        <w:bidi w:val="0"/>
        <w:rPr>
          <w:rFonts w:hint="default"/>
          <w:lang w:val="en-US" w:eastAsia="zh-CN"/>
        </w:rPr>
      </w:pPr>
      <w:bookmarkStart w:id="19" w:name="_Toc11679"/>
      <w:r>
        <w:rPr>
          <w:rFonts w:hint="default"/>
          <w:lang w:val="en-US" w:eastAsia="zh-CN"/>
        </w:rPr>
        <w:t>附则</w:t>
      </w:r>
      <w:bookmarkEnd w:id="19"/>
    </w:p>
    <w:p w14:paraId="054281D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 w14:paraId="547DCDD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本制度自发布之日起正式实施，相关改进活动须遵照执行。</w:t>
      </w:r>
    </w:p>
    <w:p w14:paraId="1B97A7E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本制度的支持性文件包括：</w:t>
      </w:r>
    </w:p>
    <w:p w14:paraId="31864498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《质量改进建议表》</w:t>
      </w:r>
    </w:p>
    <w:p w14:paraId="3C5D6AA1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《质量改进项目立项申请》</w:t>
      </w:r>
    </w:p>
    <w:p w14:paraId="50CC0BC0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《改进实施计划》</w:t>
      </w:r>
    </w:p>
    <w:p w14:paraId="78638A10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《质量改进项目结项报告》</w:t>
      </w:r>
    </w:p>
    <w:p w14:paraId="2C7CF2A6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7EB0A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22307C0"/>
    <w:multiLevelType w:val="singleLevel"/>
    <w:tmpl w:val="022307C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E80633A"/>
    <w:rsid w:val="77D1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2223</Words>
  <Characters>2339</Characters>
  <Lines>0</Lines>
  <Paragraphs>0</Paragraphs>
  <TotalTime>0</TotalTime>
  <ScaleCrop>false</ScaleCrop>
  <LinksUpToDate>false</LinksUpToDate>
  <CharactersWithSpaces>2421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2026-04-24T22:22:18Z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