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6C79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63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3E20C1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548"/>
      <w:r>
        <w:rPr>
          <w:rFonts w:hint="eastAsia"/>
          <w:lang w:val="en-US" w:eastAsia="zh-CN"/>
        </w:rPr>
        <w:t>运维服务内审管理制度</w:t>
      </w:r>
      <w:bookmarkEnd w:id="1"/>
    </w:p>
    <w:p w14:paraId="6018D5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A8EF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4158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686141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DE89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15B37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D29CB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61DF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0CAAA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F5889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B6D6F6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1EBC9F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4061E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0FCA2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7E2A2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CD46C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96453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12AC6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62AB7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3571B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2AE70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2022.06.20</w:t>
            </w:r>
          </w:p>
        </w:tc>
        <w:tc>
          <w:tcPr>
            <w:tcW w:w="972" w:type="dxa"/>
          </w:tcPr>
          <w:p w14:paraId="4548F3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05EE7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2EA23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628F02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E9DB4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2DF18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A93DE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4653F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 w14:paraId="7CC70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完善跟踪验证</w:t>
            </w:r>
          </w:p>
        </w:tc>
        <w:tc>
          <w:tcPr>
            <w:tcW w:w="1829" w:type="dxa"/>
          </w:tcPr>
          <w:p w14:paraId="6610F1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400BD4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07CE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7C457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C1E47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624CA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4CAC5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E4D0B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A24D9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072B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9E05B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B2F9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7979D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E7D2C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C912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5E5FE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A834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BBB5E0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0BDC7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FBFD4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_Toc23638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EE07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运维服务内审管理制度</w:t>
          </w:r>
          <w:r>
            <w:tab/>
          </w:r>
          <w:r>
            <w:fldChar w:fldCharType="begin"/>
          </w:r>
          <w:r>
            <w:instrText xml:space="preserve"> PAGEREF _Toc18548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B7D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_Toc30694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D364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_Toc19933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0F6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_Toc8196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F89C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质量管理部</w:t>
          </w:r>
          <w:r>
            <w:tab/>
          </w:r>
          <w:r>
            <w:fldChar w:fldCharType="begin"/>
          </w:r>
          <w:r>
            <w:instrText xml:space="preserve"> PAGEREF _Toc27288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9F5C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审核组长</w:t>
          </w:r>
          <w:r>
            <w:tab/>
          </w:r>
          <w:r>
            <w:fldChar w:fldCharType="begin"/>
          </w:r>
          <w:r>
            <w:instrText xml:space="preserve"> PAGEREF _Toc20534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2244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内审员</w:t>
          </w:r>
          <w:r>
            <w:tab/>
          </w:r>
          <w:r>
            <w:fldChar w:fldCharType="begin"/>
          </w:r>
          <w:r>
            <w:instrText xml:space="preserve"> PAGEREF _Toc30205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0F5D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受审核部门</w:t>
          </w:r>
          <w:r>
            <w:tab/>
          </w:r>
          <w:r>
            <w:fldChar w:fldCharType="begin"/>
          </w:r>
          <w:r>
            <w:instrText xml:space="preserve"> PAGEREF _Toc19633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8A4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工作程序</w:t>
          </w:r>
          <w:r>
            <w:tab/>
          </w:r>
          <w:r>
            <w:fldChar w:fldCharType="begin"/>
          </w:r>
          <w:r>
            <w:instrText xml:space="preserve"> PAGEREF _Toc19624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EF18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审核频次与时机</w:t>
          </w:r>
          <w:r>
            <w:tab/>
          </w:r>
          <w:r>
            <w:fldChar w:fldCharType="begin"/>
          </w:r>
          <w:r>
            <w:instrText xml:space="preserve"> PAGEREF _Toc27639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A827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审核策划</w:t>
          </w:r>
          <w:r>
            <w:tab/>
          </w:r>
          <w:r>
            <w:fldChar w:fldCharType="begin"/>
          </w:r>
          <w:r>
            <w:instrText xml:space="preserve"> PAGEREF _Toc28192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E9E7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审核准备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03E7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审核实施</w:t>
          </w:r>
          <w:r>
            <w:tab/>
          </w:r>
          <w:r>
            <w:fldChar w:fldCharType="begin"/>
          </w:r>
          <w:r>
            <w:instrText xml:space="preserve"> PAGEREF _Toc9425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AD92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审核报告与总结</w:t>
          </w:r>
          <w:r>
            <w:tab/>
          </w:r>
          <w:r>
            <w:fldChar w:fldCharType="begin"/>
          </w:r>
          <w:r>
            <w:instrText xml:space="preserve"> PAGEREF _Toc31354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DC0D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纠正措施与跟踪验证</w:t>
          </w:r>
          <w:r>
            <w:tab/>
          </w:r>
          <w:r>
            <w:fldChar w:fldCharType="begin"/>
          </w:r>
          <w:r>
            <w:instrText xml:space="preserve"> PAGEREF _Toc29410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7A9F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记录与档案</w:t>
          </w:r>
          <w:r>
            <w:tab/>
          </w:r>
          <w:r>
            <w:fldChar w:fldCharType="begin"/>
          </w:r>
          <w:r>
            <w:instrText xml:space="preserve"> PAGEREF _Toc20335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6CA5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A439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_Toc32704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3333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F8442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D9CBDAD">
      <w:pPr>
        <w:pStyle w:val="28"/>
        <w:bidi w:val="0"/>
        <w:rPr>
          <w:rFonts w:hint="default"/>
          <w:lang w:val="en-US" w:eastAsia="zh-CN"/>
        </w:rPr>
      </w:pPr>
      <w:bookmarkStart w:id="2" w:name="_Toc30694"/>
      <w:r>
        <w:rPr>
          <w:rFonts w:hint="default"/>
          <w:lang w:val="en-US" w:eastAsia="zh-CN"/>
        </w:rPr>
        <w:t>目的</w:t>
      </w:r>
      <w:bookmarkEnd w:id="2"/>
    </w:p>
    <w:p w14:paraId="6AC78F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为验证并确保公司运维服务质量管理体系（以下简称“体系”）持续满足国家标准、行业要求及公司内部规定，并得到有效实施与保持，通过系统、独立、客观的审核活动，发现问题、推动改进，特制定本制度。</w:t>
      </w:r>
    </w:p>
    <w:p w14:paraId="19AD8D37">
      <w:pPr>
        <w:pStyle w:val="28"/>
        <w:bidi w:val="0"/>
        <w:rPr>
          <w:rFonts w:hint="default"/>
          <w:lang w:val="en-US" w:eastAsia="zh-CN"/>
        </w:rPr>
      </w:pPr>
      <w:bookmarkStart w:id="3" w:name="_Toc19933"/>
      <w:r>
        <w:rPr>
          <w:rFonts w:hint="default"/>
          <w:lang w:val="en-US" w:eastAsia="zh-CN"/>
        </w:rPr>
        <w:t>适用范围</w:t>
      </w:r>
      <w:bookmarkEnd w:id="3"/>
    </w:p>
    <w:p w14:paraId="4696A3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本制度适用于公司范围内所有与</w:t>
      </w:r>
      <w:bookmarkStart w:id="19" w:name="_GoBack"/>
      <w:bookmarkEnd w:id="19"/>
      <w:r>
        <w:rPr>
          <w:rFonts w:hint="default"/>
          <w:lang w:val="en-US" w:eastAsia="zh-CN"/>
        </w:rPr>
        <w:t>运维服务相关的质量管理体系内部审核活动。</w:t>
      </w:r>
    </w:p>
    <w:p w14:paraId="2BFD407A">
      <w:pPr>
        <w:pStyle w:val="28"/>
        <w:bidi w:val="0"/>
        <w:rPr>
          <w:rFonts w:hint="default"/>
          <w:lang w:val="en-US" w:eastAsia="zh-CN"/>
        </w:rPr>
      </w:pPr>
      <w:bookmarkStart w:id="4" w:name="_Toc8196"/>
      <w:r>
        <w:rPr>
          <w:rFonts w:hint="default"/>
          <w:lang w:val="en-US" w:eastAsia="zh-CN"/>
        </w:rPr>
        <w:t>职责</w:t>
      </w:r>
      <w:bookmarkEnd w:id="4"/>
    </w:p>
    <w:p w14:paraId="2687BE51">
      <w:pPr>
        <w:pStyle w:val="30"/>
        <w:bidi w:val="0"/>
        <w:rPr>
          <w:rFonts w:hint="default"/>
          <w:lang w:val="en-US" w:eastAsia="zh-CN"/>
        </w:rPr>
      </w:pPr>
      <w:bookmarkStart w:id="5" w:name="_Toc27288"/>
      <w:r>
        <w:rPr>
          <w:rFonts w:hint="default"/>
          <w:lang w:val="en-US" w:eastAsia="zh-CN"/>
        </w:rPr>
        <w:t>质量管理部</w:t>
      </w:r>
      <w:bookmarkEnd w:id="5"/>
    </w:p>
    <w:p w14:paraId="404204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作为内部审核的归口管理部门，负责组织策划年度内审活动。</w:t>
      </w:r>
    </w:p>
    <w:p w14:paraId="2CF4C9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负责组建内审组，提名并任命审核组长。</w:t>
      </w:r>
    </w:p>
    <w:p w14:paraId="73B52C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负责组织编制、发布《年度内部审核计划》。</w:t>
      </w:r>
    </w:p>
    <w:p w14:paraId="6FA94C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负责保管所有内审活动产生的记录和档案。</w:t>
      </w:r>
    </w:p>
    <w:p w14:paraId="23ABFCF3">
      <w:pPr>
        <w:pStyle w:val="30"/>
        <w:bidi w:val="0"/>
        <w:rPr>
          <w:rFonts w:hint="default"/>
          <w:lang w:val="en-US" w:eastAsia="zh-CN"/>
        </w:rPr>
      </w:pPr>
      <w:bookmarkStart w:id="6" w:name="_Toc20534"/>
      <w:r>
        <w:rPr>
          <w:rFonts w:hint="default"/>
          <w:lang w:val="en-US" w:eastAsia="zh-CN"/>
        </w:rPr>
        <w:t>审核组长</w:t>
      </w:r>
      <w:bookmarkEnd w:id="6"/>
    </w:p>
    <w:p w14:paraId="15F26B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通常由质量管理部经理或其指定人员担任。</w:t>
      </w:r>
    </w:p>
    <w:p w14:paraId="5962E2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负责编制具体的《内部审核实施计划》和《内部审核检查表》。</w:t>
      </w:r>
    </w:p>
    <w:p w14:paraId="03715C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负责组织并主持内审的全过程，包括首次会议、现场审核、末次会议。</w:t>
      </w:r>
    </w:p>
    <w:p w14:paraId="114D9E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负责编写《内部审核报告》，并对审核结论的准确性负责。</w:t>
      </w:r>
    </w:p>
    <w:p w14:paraId="6D1E87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负责组织对不符合项纠正措施落实情况的跟踪验证。</w:t>
      </w:r>
    </w:p>
    <w:p w14:paraId="5C405596">
      <w:pPr>
        <w:pStyle w:val="30"/>
        <w:bidi w:val="0"/>
        <w:rPr>
          <w:rFonts w:hint="default"/>
          <w:lang w:val="en-US" w:eastAsia="zh-CN"/>
        </w:rPr>
      </w:pPr>
      <w:bookmarkStart w:id="7" w:name="_Toc30205"/>
      <w:r>
        <w:rPr>
          <w:rFonts w:hint="default"/>
          <w:lang w:val="en-US" w:eastAsia="zh-CN"/>
        </w:rPr>
        <w:t>内审员</w:t>
      </w:r>
      <w:bookmarkEnd w:id="7"/>
    </w:p>
    <w:p w14:paraId="280076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由经培训合格并取得资格的公司员工担任。</w:t>
      </w:r>
    </w:p>
    <w:p w14:paraId="6F428E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在审核组长领导下，按计划完成分配的审核任务。</w:t>
      </w:r>
    </w:p>
    <w:p w14:paraId="2F5E48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客观、公正地收集审核证据，记录审核发现。</w:t>
      </w:r>
    </w:p>
    <w:p w14:paraId="4DD0D1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协助编写不符合项报告，参与纠正措施的验证。</w:t>
      </w:r>
    </w:p>
    <w:p w14:paraId="0CF90BEA">
      <w:pPr>
        <w:pStyle w:val="30"/>
        <w:bidi w:val="0"/>
        <w:rPr>
          <w:rFonts w:hint="default"/>
          <w:lang w:val="en-US" w:eastAsia="zh-CN"/>
        </w:rPr>
      </w:pPr>
      <w:bookmarkStart w:id="8" w:name="_Toc19633"/>
      <w:r>
        <w:rPr>
          <w:rFonts w:hint="default"/>
          <w:lang w:val="en-US" w:eastAsia="zh-CN"/>
        </w:rPr>
        <w:t>受审核部门</w:t>
      </w:r>
      <w:bookmarkEnd w:id="8"/>
    </w:p>
    <w:p w14:paraId="301C41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指定联络人，积极配合内审工作。</w:t>
      </w:r>
    </w:p>
    <w:p w14:paraId="30311A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提供审核所需资源，确保审核顺利进行。</w:t>
      </w:r>
    </w:p>
    <w:p w14:paraId="763AAD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确认审核发现的事实，针对不符合项分析原因并制定、实施纠正措施。</w:t>
      </w:r>
    </w:p>
    <w:p w14:paraId="4DA05847">
      <w:pPr>
        <w:pStyle w:val="28"/>
        <w:bidi w:val="0"/>
        <w:rPr>
          <w:rFonts w:hint="default"/>
          <w:lang w:val="en-US" w:eastAsia="zh-CN"/>
        </w:rPr>
      </w:pPr>
      <w:bookmarkStart w:id="9" w:name="_Toc19624"/>
      <w:r>
        <w:rPr>
          <w:rFonts w:hint="default"/>
          <w:lang w:val="en-US" w:eastAsia="zh-CN"/>
        </w:rPr>
        <w:t>工作程序</w:t>
      </w:r>
      <w:bookmarkEnd w:id="9"/>
    </w:p>
    <w:p w14:paraId="0EC9EE42">
      <w:pPr>
        <w:pStyle w:val="30"/>
        <w:bidi w:val="0"/>
        <w:rPr>
          <w:rFonts w:hint="default"/>
          <w:lang w:val="en-US" w:eastAsia="zh-CN"/>
        </w:rPr>
      </w:pPr>
      <w:bookmarkStart w:id="10" w:name="_Toc27639"/>
      <w:r>
        <w:rPr>
          <w:rFonts w:hint="default"/>
          <w:lang w:val="en-US" w:eastAsia="zh-CN"/>
        </w:rPr>
        <w:t>审核频次与时机</w:t>
      </w:r>
      <w:bookmarkEnd w:id="10"/>
    </w:p>
    <w:p w14:paraId="299689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例行审核：公司每年至少组织一次覆盖全部相关部门和要素的完整内部审核，两次完整审核的时间间隔不超过12个月。</w:t>
      </w:r>
    </w:p>
    <w:p w14:paraId="021BA2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追加审核：当出现以下情况时，由质量管理部提议，报公司领导批准后，可追加安排专项或局部审核：</w:t>
      </w:r>
    </w:p>
    <w:p w14:paraId="768499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发生重大服务质量问题或客户严重投诉。</w:t>
      </w:r>
    </w:p>
    <w:p w14:paraId="75A400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组织机构、服务范围、技术环境发生重大变化。</w:t>
      </w:r>
    </w:p>
    <w:p w14:paraId="16A0C6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为应对外部认证或客户审核前。</w:t>
      </w:r>
    </w:p>
    <w:p w14:paraId="03EF82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管理层认为有必要时。</w:t>
      </w:r>
    </w:p>
    <w:p w14:paraId="1E6D08F2">
      <w:pPr>
        <w:pStyle w:val="30"/>
        <w:bidi w:val="0"/>
        <w:rPr>
          <w:rFonts w:hint="default"/>
          <w:lang w:val="en-US" w:eastAsia="zh-CN"/>
        </w:rPr>
      </w:pPr>
      <w:bookmarkStart w:id="11" w:name="_Toc28192"/>
      <w:r>
        <w:rPr>
          <w:rFonts w:hint="default"/>
          <w:lang w:val="en-US" w:eastAsia="zh-CN"/>
        </w:rPr>
        <w:t>审核策划</w:t>
      </w:r>
      <w:bookmarkEnd w:id="11"/>
    </w:p>
    <w:p w14:paraId="0D8A2B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每年年初，质量管理部基于风险思维、过程绩效及以往审核结果，策划并编制《年度内部审核计划》，明确审核目的、范围、依据、频次及大致时间安排，报公司领导批准。</w:t>
      </w:r>
    </w:p>
    <w:p w14:paraId="6310E2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每次具体审核前，审核组长需进行详细策划，编制《内部审核实施计划》，内容包括：审核目的、范围、依据、审核组成员及分工、受审核部门、审核日程、会议安排等。计划需提前通知受审核部门。</w:t>
      </w:r>
    </w:p>
    <w:p w14:paraId="4D337DA5">
      <w:pPr>
        <w:pStyle w:val="30"/>
        <w:bidi w:val="0"/>
        <w:rPr>
          <w:rFonts w:hint="default"/>
          <w:lang w:val="en-US" w:eastAsia="zh-CN"/>
        </w:rPr>
      </w:pPr>
      <w:bookmarkStart w:id="12" w:name="_Toc20054"/>
      <w:r>
        <w:rPr>
          <w:rFonts w:hint="default"/>
          <w:lang w:val="en-US" w:eastAsia="zh-CN"/>
        </w:rPr>
        <w:t>审核准备</w:t>
      </w:r>
      <w:bookmarkEnd w:id="12"/>
    </w:p>
    <w:p w14:paraId="194844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组建审核组：审核组成员应具备相应资格，且确保审核员不审核自己所在的部门，以保证审核的独立性、客观性。</w:t>
      </w:r>
    </w:p>
    <w:p w14:paraId="2ED67C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编制检查表：审核组成员根据分工，依据审核准则和受审核部门的过程/文件，编制《内部审核检查表》，作为现场审核的提纲和记录工具。</w:t>
      </w:r>
    </w:p>
    <w:p w14:paraId="34CBE4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文件评审：审核组提前审阅受审核部门相关的体系文件，了解其要求。</w:t>
      </w:r>
    </w:p>
    <w:p w14:paraId="4D8B47D7">
      <w:pPr>
        <w:pStyle w:val="30"/>
        <w:bidi w:val="0"/>
        <w:rPr>
          <w:rFonts w:hint="default"/>
          <w:lang w:val="en-US" w:eastAsia="zh-CN"/>
        </w:rPr>
      </w:pPr>
      <w:bookmarkStart w:id="13" w:name="_Toc9425"/>
      <w:r>
        <w:rPr>
          <w:rFonts w:hint="default"/>
          <w:lang w:val="en-US" w:eastAsia="zh-CN"/>
        </w:rPr>
        <w:t>审核实施</w:t>
      </w:r>
      <w:bookmarkEnd w:id="13"/>
    </w:p>
    <w:p w14:paraId="41D8C7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首次会议：</w:t>
      </w:r>
    </w:p>
    <w:p w14:paraId="58EB3F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由审核组长主持召开，公司领导、受审核部门负责人及审核组成员参加。会议明确审核计划、安排，确认沟通渠道。</w:t>
      </w:r>
    </w:p>
    <w:p w14:paraId="25F89F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现场审核：</w:t>
      </w:r>
    </w:p>
    <w:p w14:paraId="0874D7F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审核员通过访谈、观察、查阅文件和记录等方式，依据检查表收集客观证据。</w:t>
      </w:r>
    </w:p>
    <w:p w14:paraId="6D2948F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审核发现应予以记录，并与受审核方现场确认。</w:t>
      </w:r>
    </w:p>
    <w:p w14:paraId="0FCEAC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审核中发现的问题，按其严重程度分为：</w:t>
      </w:r>
    </w:p>
    <w:p w14:paraId="4870182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严重不符合项：系统性或区域性失效；可能导致严重后果；重复发生且未有效纠正。</w:t>
      </w:r>
    </w:p>
    <w:p w14:paraId="41968F3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一般不符合项：孤立的、偶然的人为错误；对体系运行无重大影响。</w:t>
      </w:r>
    </w:p>
    <w:p w14:paraId="1FD6DE6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观察项：潜在的问题或可改进的领域，尚未构成不符合，但需引起注意。</w:t>
      </w:r>
    </w:p>
    <w:p w14:paraId="7EC8EF6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不符合项报告：对于确认的不符合项，审核员应填写《不符合项报告》，清晰描述事实，判定不符合的条款及类型，并由受审核部门负责人确认。</w:t>
      </w:r>
    </w:p>
    <w:p w14:paraId="2994A9A9">
      <w:pPr>
        <w:pStyle w:val="30"/>
        <w:bidi w:val="0"/>
        <w:rPr>
          <w:rFonts w:hint="default"/>
          <w:lang w:val="en-US" w:eastAsia="zh-CN"/>
        </w:rPr>
      </w:pPr>
      <w:bookmarkStart w:id="14" w:name="_Toc31354"/>
      <w:r>
        <w:rPr>
          <w:rFonts w:hint="default"/>
          <w:lang w:val="en-US" w:eastAsia="zh-CN"/>
        </w:rPr>
        <w:t>审核报告与总结</w:t>
      </w:r>
      <w:bookmarkEnd w:id="14"/>
    </w:p>
    <w:p w14:paraId="1BDC07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末次会议：现场审核结束后，审核组长主持召开末次会议，报告审核发现和结论，宣读不符合项报告。</w:t>
      </w:r>
    </w:p>
    <w:p w14:paraId="107F34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审核报告：审核结束后，审核组长编制《内部审核报告》，全面总结审核情况、不符合项分布、体系运行有效性评价及结论。报告经批准后分发至相关部门及公司领导。</w:t>
      </w:r>
    </w:p>
    <w:p w14:paraId="5A54405A">
      <w:pPr>
        <w:pStyle w:val="30"/>
        <w:bidi w:val="0"/>
        <w:rPr>
          <w:rFonts w:hint="default"/>
          <w:lang w:val="en-US" w:eastAsia="zh-CN"/>
        </w:rPr>
      </w:pPr>
      <w:bookmarkStart w:id="15" w:name="_Toc29410"/>
      <w:r>
        <w:rPr>
          <w:rFonts w:hint="default"/>
          <w:lang w:val="en-US" w:eastAsia="zh-CN"/>
        </w:rPr>
        <w:t>纠正措施与跟踪验证</w:t>
      </w:r>
      <w:bookmarkEnd w:id="15"/>
    </w:p>
    <w:p w14:paraId="23E17C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受审核部门在收到《不符合项报告》后，应分析根本原因，制定具体的纠正与预防措施及完成期限，并组织实施。</w:t>
      </w:r>
    </w:p>
    <w:p w14:paraId="04E3BF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审核组长或其指定的审核员（通常为质量管理专员）负责对纠正措施的实施情况进行跟踪验证，确保措施有效并已关闭。</w:t>
      </w:r>
    </w:p>
    <w:p w14:paraId="37BEFA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验证结果应记录。对于未能有效关闭的不符合项，应升级处理。</w:t>
      </w:r>
    </w:p>
    <w:p w14:paraId="7B923B51">
      <w:pPr>
        <w:pStyle w:val="30"/>
        <w:bidi w:val="0"/>
        <w:rPr>
          <w:rFonts w:hint="default"/>
          <w:lang w:val="en-US" w:eastAsia="zh-CN"/>
        </w:rPr>
      </w:pPr>
      <w:bookmarkStart w:id="16" w:name="_Toc20335"/>
      <w:r>
        <w:rPr>
          <w:rFonts w:hint="default"/>
          <w:lang w:val="en-US" w:eastAsia="zh-CN"/>
        </w:rPr>
        <w:t>记录与档案</w:t>
      </w:r>
      <w:bookmarkEnd w:id="16"/>
    </w:p>
    <w:p w14:paraId="0E6947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质量管理部负责保存内审全过程的记录，形成完整档案，至少包括：</w:t>
      </w:r>
    </w:p>
    <w:p w14:paraId="2688EF1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《年度内部审核计划》</w:t>
      </w:r>
    </w:p>
    <w:p w14:paraId="0093D39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《内部审核实施计划》</w:t>
      </w:r>
    </w:p>
    <w:p w14:paraId="6CED509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《内部审核检查表》</w:t>
      </w:r>
    </w:p>
    <w:p w14:paraId="37F7A74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《不符合项报告》</w:t>
      </w:r>
    </w:p>
    <w:p w14:paraId="04F5BBB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《内部审核报告》</w:t>
      </w:r>
    </w:p>
    <w:p w14:paraId="15AF0AF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《纠正措施跟踪验证记录》</w:t>
      </w:r>
    </w:p>
    <w:p w14:paraId="6A0EF5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4780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152"/>
        <w:gridCol w:w="3552"/>
        <w:gridCol w:w="1308"/>
      </w:tblGrid>
      <w:tr w14:paraId="2BEF8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3C7C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BA05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5C5D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13E8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1AEE0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B532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内审次数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DBB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48C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数量，内审报告数量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26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4934B703">
      <w:pPr>
        <w:pStyle w:val="28"/>
        <w:bidi w:val="0"/>
        <w:rPr>
          <w:rFonts w:hint="default"/>
          <w:lang w:val="en-US" w:eastAsia="zh-CN"/>
        </w:rPr>
      </w:pPr>
      <w:bookmarkStart w:id="18" w:name="_Toc32704"/>
      <w:r>
        <w:rPr>
          <w:rFonts w:hint="default"/>
          <w:lang w:val="en-US" w:eastAsia="zh-CN"/>
        </w:rPr>
        <w:t>附则</w:t>
      </w:r>
      <w:bookmarkEnd w:id="18"/>
    </w:p>
    <w:p w14:paraId="5A75F6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6FA77E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0C37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43DCA62"/>
    <w:multiLevelType w:val="singleLevel"/>
    <w:tmpl w:val="C43DCA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41F447C"/>
    <w:multiLevelType w:val="singleLevel"/>
    <w:tmpl w:val="241F44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53842F0"/>
    <w:multiLevelType w:val="singleLevel"/>
    <w:tmpl w:val="653842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70F57C6"/>
    <w:rsid w:val="676537A0"/>
    <w:rsid w:val="72BB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1973</Words>
  <Characters>2082</Characters>
  <Lines>0</Lines>
  <Paragraphs>0</Paragraphs>
  <TotalTime>0</TotalTime>
  <ScaleCrop>false</ScaleCrop>
  <LinksUpToDate>false</LinksUpToDate>
  <CharactersWithSpaces>2156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