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B49B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7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DC847B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18"/>
      <w:r>
        <w:rPr>
          <w:rFonts w:hint="eastAsia"/>
          <w:lang w:val="en-US" w:eastAsia="zh-CN"/>
        </w:rPr>
        <w:t>人员工作交接管理制度</w:t>
      </w:r>
      <w:bookmarkEnd w:id="1"/>
    </w:p>
    <w:p w14:paraId="429F47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421C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252DC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2017BE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8D9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3F5FA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4B33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B025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5B7DE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F3C63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0D2608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E9EC3C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562C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23D77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541CE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608C7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7914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23BF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9645E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613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F4B96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058F54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2CFB8E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C58C9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0E955E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03DB49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286A5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1A89B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55823B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168390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完善追责情形</w:t>
            </w:r>
          </w:p>
        </w:tc>
        <w:tc>
          <w:tcPr>
            <w:tcW w:w="1829" w:type="dxa"/>
            <w:shd w:val="clear" w:color="auto" w:fill="auto"/>
          </w:tcPr>
          <w:p w14:paraId="29B19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5ADC24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6737AF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DF83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9F6D7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85F38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4D5A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44233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C0BE4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B50AF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00546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3C421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777E3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C81C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1A76A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74AE3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1F986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0312B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75F3F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0D0A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02D7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5A2B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D7CE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798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A08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66D0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_Toc23513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051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_Toc30935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5DE3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0B39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FFB0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182D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BBB0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_Toc17001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60A3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EBD2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_Toc12179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F80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5FD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9DB6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_Toc32308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6C1F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_Toc13043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173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_Toc23637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5DE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_Toc14402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924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96B4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3EA6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A83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237EE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D63090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BC945A8">
      <w:pPr>
        <w:pStyle w:val="28"/>
        <w:bidi w:val="0"/>
        <w:rPr>
          <w:rFonts w:hint="default"/>
          <w:lang w:val="en-US" w:eastAsia="zh-CN"/>
        </w:rPr>
      </w:pPr>
      <w:bookmarkStart w:id="2" w:name="_Toc28333"/>
      <w:r>
        <w:rPr>
          <w:rFonts w:hint="default"/>
          <w:lang w:val="en-US" w:eastAsia="zh-CN"/>
        </w:rPr>
        <w:t>总则</w:t>
      </w:r>
      <w:bookmarkEnd w:id="2"/>
    </w:p>
    <w:p w14:paraId="2BEA2971">
      <w:pPr>
        <w:pStyle w:val="30"/>
        <w:bidi w:val="0"/>
        <w:rPr>
          <w:rFonts w:hint="default"/>
          <w:lang w:val="en-US" w:eastAsia="zh-CN"/>
        </w:rPr>
      </w:pPr>
      <w:bookmarkStart w:id="3" w:name="_Toc29165"/>
      <w:r>
        <w:rPr>
          <w:rFonts w:hint="default"/>
          <w:lang w:val="en-US" w:eastAsia="zh-CN"/>
        </w:rPr>
        <w:t>目的</w:t>
      </w:r>
      <w:bookmarkEnd w:id="3"/>
    </w:p>
    <w:p w14:paraId="701AA7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</w:t>
      </w:r>
      <w:bookmarkStart w:id="25" w:name="_GoBack"/>
      <w:bookmarkEnd w:id="25"/>
      <w:r>
        <w:rPr>
          <w:rFonts w:hint="default"/>
          <w:lang w:val="en-US" w:eastAsia="zh-CN"/>
        </w:rPr>
        <w:t>运维服务业务的连续性和稳定性，防范因交接不清导致的运营风险与知识资产流失，特制定本办法。</w:t>
      </w:r>
    </w:p>
    <w:p w14:paraId="3A204975">
      <w:pPr>
        <w:pStyle w:val="30"/>
        <w:bidi w:val="0"/>
        <w:rPr>
          <w:rFonts w:hint="default"/>
          <w:lang w:val="en-US" w:eastAsia="zh-CN"/>
        </w:rPr>
      </w:pPr>
      <w:bookmarkStart w:id="4" w:name="_Toc25641"/>
      <w:r>
        <w:rPr>
          <w:rFonts w:hint="default"/>
          <w:lang w:val="en-US" w:eastAsia="zh-CN"/>
        </w:rPr>
        <w:t>适用范围</w:t>
      </w:r>
      <w:bookmarkEnd w:id="4"/>
    </w:p>
    <w:p w14:paraId="2894FB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 w14:paraId="452E6DF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 w14:paraId="2C8C55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 w14:paraId="74648D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 w14:paraId="0CA608D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 w14:paraId="2A710A63">
      <w:pPr>
        <w:pStyle w:val="30"/>
        <w:bidi w:val="0"/>
        <w:rPr>
          <w:rFonts w:hint="default"/>
          <w:lang w:val="en-US" w:eastAsia="zh-CN"/>
        </w:rPr>
      </w:pPr>
      <w:bookmarkStart w:id="5" w:name="_Toc12463"/>
      <w:r>
        <w:rPr>
          <w:rFonts w:hint="default"/>
          <w:lang w:val="en-US" w:eastAsia="zh-CN"/>
        </w:rPr>
        <w:t>责任主体</w:t>
      </w:r>
      <w:bookmarkEnd w:id="5"/>
    </w:p>
    <w:p w14:paraId="339CDA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 w14:paraId="2A9E5D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 w14:paraId="34C8E5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 w14:paraId="76AA71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 w14:paraId="1EEAED9F">
      <w:pPr>
        <w:pStyle w:val="28"/>
        <w:bidi w:val="0"/>
        <w:rPr>
          <w:rFonts w:hint="default"/>
          <w:lang w:val="en-US" w:eastAsia="zh-CN"/>
        </w:rPr>
      </w:pPr>
      <w:bookmarkStart w:id="6" w:name="_Toc23513"/>
      <w:r>
        <w:rPr>
          <w:rFonts w:hint="default"/>
          <w:lang w:val="en-US" w:eastAsia="zh-CN"/>
        </w:rPr>
        <w:t>工作交接内容</w:t>
      </w:r>
      <w:bookmarkEnd w:id="6"/>
    </w:p>
    <w:p w14:paraId="13F1FC1E">
      <w:pPr>
        <w:pStyle w:val="30"/>
        <w:bidi w:val="0"/>
        <w:rPr>
          <w:rFonts w:hint="default"/>
          <w:lang w:val="en-US" w:eastAsia="zh-CN"/>
        </w:rPr>
      </w:pPr>
      <w:bookmarkStart w:id="7" w:name="_Toc30935"/>
      <w:r>
        <w:rPr>
          <w:rFonts w:hint="default"/>
          <w:lang w:val="en-US" w:eastAsia="zh-CN"/>
        </w:rPr>
        <w:t>业务工作交接</w:t>
      </w:r>
      <w:bookmarkEnd w:id="7"/>
    </w:p>
    <w:p w14:paraId="7C7006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 w14:paraId="739352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 w14:paraId="774AF9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 w14:paraId="474145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 w14:paraId="645781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 w14:paraId="7B5A67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 w14:paraId="39904C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 w14:paraId="1B2204FC">
      <w:pPr>
        <w:pStyle w:val="30"/>
        <w:bidi w:val="0"/>
        <w:rPr>
          <w:rFonts w:hint="default"/>
          <w:lang w:val="en-US" w:eastAsia="zh-CN"/>
        </w:rPr>
      </w:pPr>
      <w:bookmarkStart w:id="8" w:name="_Toc5212"/>
      <w:r>
        <w:rPr>
          <w:rFonts w:hint="default"/>
          <w:lang w:val="en-US" w:eastAsia="zh-CN"/>
        </w:rPr>
        <w:t>公司物品交接</w:t>
      </w:r>
      <w:bookmarkEnd w:id="8"/>
    </w:p>
    <w:p w14:paraId="53BC7A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 w14:paraId="70680CA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 w14:paraId="143CE6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 w14:paraId="10E96B7A">
      <w:pPr>
        <w:pStyle w:val="28"/>
        <w:bidi w:val="0"/>
        <w:rPr>
          <w:rFonts w:hint="default"/>
          <w:lang w:val="en-US" w:eastAsia="zh-CN"/>
        </w:rPr>
      </w:pPr>
      <w:bookmarkStart w:id="9" w:name="_Toc16509"/>
      <w:r>
        <w:rPr>
          <w:rFonts w:hint="default"/>
          <w:lang w:val="en-US" w:eastAsia="zh-CN"/>
        </w:rPr>
        <w:t>工作交接程序</w:t>
      </w:r>
      <w:bookmarkEnd w:id="9"/>
    </w:p>
    <w:p w14:paraId="7E7DE2A4">
      <w:pPr>
        <w:pStyle w:val="30"/>
        <w:bidi w:val="0"/>
        <w:rPr>
          <w:rFonts w:hint="default"/>
          <w:lang w:val="en-US" w:eastAsia="zh-CN"/>
        </w:rPr>
      </w:pPr>
      <w:bookmarkStart w:id="10" w:name="_Toc32122"/>
      <w:r>
        <w:rPr>
          <w:rFonts w:hint="default"/>
          <w:lang w:val="en-US" w:eastAsia="zh-CN"/>
        </w:rPr>
        <w:t>交接启动</w:t>
      </w:r>
      <w:bookmarkEnd w:id="10"/>
    </w:p>
    <w:p w14:paraId="38674B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正式发起并通知移交人、接收人及人力资源部，明确交接截止日期。</w:t>
      </w:r>
    </w:p>
    <w:p w14:paraId="1C43962B">
      <w:pPr>
        <w:pStyle w:val="30"/>
        <w:bidi w:val="0"/>
        <w:rPr>
          <w:rFonts w:hint="default"/>
          <w:lang w:val="en-US" w:eastAsia="zh-CN"/>
        </w:rPr>
      </w:pPr>
      <w:bookmarkStart w:id="11" w:name="_Toc2585"/>
      <w:r>
        <w:rPr>
          <w:rFonts w:hint="default"/>
          <w:lang w:val="en-US" w:eastAsia="zh-CN"/>
        </w:rPr>
        <w:t>准备工作</w:t>
      </w:r>
      <w:bookmarkEnd w:id="11"/>
    </w:p>
    <w:p w14:paraId="04BD77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 w14:paraId="0FE6A67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 w14:paraId="2CABAE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 w14:paraId="55062C2A">
      <w:pPr>
        <w:pStyle w:val="30"/>
        <w:bidi w:val="0"/>
        <w:rPr>
          <w:rFonts w:hint="default"/>
          <w:lang w:val="en-US" w:eastAsia="zh-CN"/>
        </w:rPr>
      </w:pPr>
      <w:bookmarkStart w:id="12" w:name="_Toc17001"/>
      <w:r>
        <w:rPr>
          <w:rFonts w:hint="default"/>
          <w:lang w:val="en-US" w:eastAsia="zh-CN"/>
        </w:rPr>
        <w:t>审核与调整</w:t>
      </w:r>
      <w:bookmarkEnd w:id="12"/>
    </w:p>
    <w:p w14:paraId="227EE40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 w14:paraId="64E7A883">
      <w:pPr>
        <w:pStyle w:val="30"/>
        <w:bidi w:val="0"/>
        <w:rPr>
          <w:rFonts w:hint="default"/>
          <w:lang w:val="en-US" w:eastAsia="zh-CN"/>
        </w:rPr>
      </w:pPr>
      <w:bookmarkStart w:id="13" w:name="_Toc17434"/>
      <w:r>
        <w:rPr>
          <w:rFonts w:hint="default"/>
          <w:lang w:val="en-US" w:eastAsia="zh-CN"/>
        </w:rPr>
        <w:t>现场交接与确认</w:t>
      </w:r>
      <w:bookmarkEnd w:id="13"/>
    </w:p>
    <w:p w14:paraId="7D0BECB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 w14:paraId="230DC4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 w14:paraId="15BBEB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 w14:paraId="651C13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 w14:paraId="3FF89F79">
      <w:pPr>
        <w:pStyle w:val="30"/>
        <w:bidi w:val="0"/>
        <w:rPr>
          <w:rFonts w:hint="default"/>
          <w:lang w:val="en-US" w:eastAsia="zh-CN"/>
        </w:rPr>
      </w:pPr>
      <w:bookmarkStart w:id="14" w:name="_Toc12179"/>
      <w:r>
        <w:rPr>
          <w:rFonts w:hint="default"/>
          <w:lang w:val="en-US" w:eastAsia="zh-CN"/>
        </w:rPr>
        <w:t>系统权限与IT资产交接</w:t>
      </w:r>
      <w:bookmarkEnd w:id="14"/>
    </w:p>
    <w:p w14:paraId="6F1705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涉及通用系统账号注销及标准IT资产（如公司电脑）回收的，按《人员入离职管理制度》规定，由接收人或监督人监督移交人完成清理后，提请研发部/运维部（IT支持） 执行权限回收与资产回收流程，并在相关表单上会签。</w:t>
      </w:r>
    </w:p>
    <w:p w14:paraId="14419E07">
      <w:pPr>
        <w:pStyle w:val="30"/>
        <w:bidi w:val="0"/>
        <w:rPr>
          <w:rFonts w:hint="default"/>
          <w:lang w:val="en-US" w:eastAsia="zh-CN"/>
        </w:rPr>
      </w:pPr>
      <w:bookmarkStart w:id="15" w:name="_Toc2613"/>
      <w:r>
        <w:rPr>
          <w:rFonts w:hint="default"/>
          <w:lang w:val="en-US" w:eastAsia="zh-CN"/>
        </w:rPr>
        <w:t>存档备案</w:t>
      </w:r>
      <w:bookmarkEnd w:id="15"/>
    </w:p>
    <w:p w14:paraId="799D6B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经三方签字确认的《工作交接确认单》原件，作为关键记录，由人力资源部归入员工人事档案，长期保存。《工作交接清单》可根据需要由部门备份。</w:t>
      </w:r>
    </w:p>
    <w:p w14:paraId="3D88F9B9">
      <w:pPr>
        <w:pStyle w:val="28"/>
        <w:bidi w:val="0"/>
        <w:rPr>
          <w:rFonts w:hint="default"/>
          <w:lang w:val="en-US" w:eastAsia="zh-CN"/>
        </w:rPr>
      </w:pPr>
      <w:bookmarkStart w:id="16" w:name="_Toc5916"/>
      <w:r>
        <w:rPr>
          <w:rFonts w:hint="default"/>
          <w:lang w:val="en-US" w:eastAsia="zh-CN"/>
        </w:rPr>
        <w:t>工作交接要求</w:t>
      </w:r>
      <w:bookmarkEnd w:id="16"/>
    </w:p>
    <w:p w14:paraId="3BB209CF">
      <w:pPr>
        <w:pStyle w:val="30"/>
        <w:bidi w:val="0"/>
        <w:rPr>
          <w:rFonts w:hint="default"/>
          <w:lang w:val="en-US" w:eastAsia="zh-CN"/>
        </w:rPr>
      </w:pPr>
      <w:bookmarkStart w:id="17" w:name="_Toc32308"/>
      <w:r>
        <w:rPr>
          <w:rFonts w:hint="default"/>
          <w:lang w:val="en-US" w:eastAsia="zh-CN"/>
        </w:rPr>
        <w:t>接收人指定</w:t>
      </w:r>
      <w:bookmarkEnd w:id="17"/>
    </w:p>
    <w:p w14:paraId="252920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 w14:paraId="1A96C61D">
      <w:pPr>
        <w:pStyle w:val="30"/>
        <w:bidi w:val="0"/>
        <w:rPr>
          <w:rFonts w:hint="default"/>
          <w:lang w:val="en-US" w:eastAsia="zh-CN"/>
        </w:rPr>
      </w:pPr>
      <w:bookmarkStart w:id="18" w:name="_Toc13043"/>
      <w:r>
        <w:rPr>
          <w:rFonts w:hint="default"/>
          <w:lang w:val="en-US" w:eastAsia="zh-CN"/>
        </w:rPr>
        <w:t>交接时限</w:t>
      </w:r>
      <w:bookmarkEnd w:id="18"/>
    </w:p>
    <w:p w14:paraId="038296B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 w14:paraId="1A5E0A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 w14:paraId="794461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 w14:paraId="43E66B8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具体交接计划由监督人根据实际情况与人力资源部协商确定。</w:t>
      </w:r>
    </w:p>
    <w:p w14:paraId="3426A401">
      <w:pPr>
        <w:pStyle w:val="30"/>
        <w:bidi w:val="0"/>
        <w:rPr>
          <w:rFonts w:hint="default"/>
          <w:lang w:val="en-US" w:eastAsia="zh-CN"/>
        </w:rPr>
      </w:pPr>
      <w:bookmarkStart w:id="19" w:name="_Toc23637"/>
      <w:r>
        <w:rPr>
          <w:rFonts w:hint="default"/>
          <w:lang w:val="en-US" w:eastAsia="zh-CN"/>
        </w:rPr>
        <w:t>特殊情况处理</w:t>
      </w:r>
      <w:bookmarkEnd w:id="19"/>
    </w:p>
    <w:p w14:paraId="23C4E3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如移交人因特殊原因无法亲自办理交接，须提前获得部门负责人及人力资源部书面批准，可授权他人代办，但所有责任仍由移交人承担。</w:t>
      </w:r>
    </w:p>
    <w:p w14:paraId="07E90C26">
      <w:pPr>
        <w:pStyle w:val="30"/>
        <w:bidi w:val="0"/>
        <w:rPr>
          <w:rFonts w:hint="default"/>
          <w:lang w:val="en-US" w:eastAsia="zh-CN"/>
        </w:rPr>
      </w:pPr>
      <w:bookmarkStart w:id="20" w:name="_Toc14402"/>
      <w:r>
        <w:rPr>
          <w:rFonts w:hint="default"/>
          <w:lang w:val="en-US" w:eastAsia="zh-CN"/>
        </w:rPr>
        <w:t>离职关联</w:t>
      </w:r>
      <w:bookmarkEnd w:id="20"/>
    </w:p>
    <w:p w14:paraId="5EC7AF8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对于离职员工，完整且签字齐全的《工作交接确认单》是人力资源部办理离职结算、开具离职证明及发放最后薪资的必要前提。未完成有效工作交接者，公司有权暂缓办理相关手续。</w:t>
      </w:r>
    </w:p>
    <w:p w14:paraId="7CCFDE70">
      <w:pPr>
        <w:pStyle w:val="28"/>
        <w:bidi w:val="0"/>
        <w:rPr>
          <w:rFonts w:hint="default"/>
          <w:lang w:val="en-US" w:eastAsia="zh-CN"/>
        </w:rPr>
      </w:pPr>
      <w:bookmarkStart w:id="21" w:name="_Toc20337"/>
      <w:r>
        <w:rPr>
          <w:rFonts w:hint="default"/>
          <w:lang w:val="en-US" w:eastAsia="zh-CN"/>
        </w:rPr>
        <w:t>监督与考核</w:t>
      </w:r>
      <w:bookmarkEnd w:id="21"/>
    </w:p>
    <w:p w14:paraId="6853F067">
      <w:pPr>
        <w:pStyle w:val="30"/>
        <w:bidi w:val="0"/>
        <w:rPr>
          <w:rFonts w:hint="default"/>
          <w:lang w:val="en-US" w:eastAsia="zh-CN"/>
        </w:rPr>
      </w:pPr>
      <w:bookmarkStart w:id="22" w:name="_Toc12143"/>
      <w:r>
        <w:rPr>
          <w:rFonts w:hint="default"/>
          <w:lang w:val="en-US" w:eastAsia="zh-CN"/>
        </w:rPr>
        <w:t>部门责任制</w:t>
      </w:r>
      <w:bookmarkEnd w:id="22"/>
    </w:p>
    <w:p w14:paraId="39247A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 w14:paraId="5BA9FC32">
      <w:pPr>
        <w:pStyle w:val="30"/>
        <w:bidi w:val="0"/>
        <w:rPr>
          <w:rFonts w:hint="default"/>
          <w:lang w:val="en-US" w:eastAsia="zh-CN"/>
        </w:rPr>
      </w:pPr>
      <w:bookmarkStart w:id="23" w:name="_Toc27523"/>
      <w:r>
        <w:rPr>
          <w:rFonts w:hint="default"/>
          <w:lang w:val="en-US" w:eastAsia="zh-CN"/>
        </w:rPr>
        <w:t>追究情形</w:t>
      </w:r>
      <w:bookmarkEnd w:id="23"/>
    </w:p>
    <w:p w14:paraId="349C3D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 w14:paraId="103C23D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 w14:paraId="47C8173C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 w14:paraId="47941934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 w14:paraId="62468590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 w14:paraId="7EFDD406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 w14:paraId="2768A39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 w14:paraId="44A20B46">
      <w:pPr>
        <w:pStyle w:val="28"/>
        <w:bidi w:val="0"/>
        <w:rPr>
          <w:rFonts w:hint="default"/>
          <w:lang w:val="en-US" w:eastAsia="zh-CN"/>
        </w:rPr>
      </w:pPr>
      <w:bookmarkStart w:id="24" w:name="_Toc32013"/>
      <w:r>
        <w:rPr>
          <w:rFonts w:hint="default"/>
          <w:lang w:val="en-US" w:eastAsia="zh-CN"/>
        </w:rPr>
        <w:t>附则</w:t>
      </w:r>
      <w:bookmarkEnd w:id="24"/>
    </w:p>
    <w:p w14:paraId="47EA7B8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本办法由人力资源部负责解释与修订。</w:t>
      </w:r>
    </w:p>
    <w:p w14:paraId="574037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 w14:paraId="083498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本办法涉及的《工作交接清单》、《工作交接确认单》等附件，由人力资源部负责制定与更新。</w:t>
      </w:r>
    </w:p>
    <w:p w14:paraId="62C92E5C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9FE72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134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B67E4D"/>
    <w:rsid w:val="6D38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2292</Words>
  <Characters>2419</Characters>
  <Lines>0</Lines>
  <Paragraphs>0</Paragraphs>
  <TotalTime>1</TotalTime>
  <ScaleCrop>false</ScaleCrop>
  <LinksUpToDate>false</LinksUpToDate>
  <CharactersWithSpaces>2470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