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ED26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17" w:name="_GoBack"/>
      <w:bookmarkEnd w:id="17"/>
      <w:bookmarkStart w:id="0" w:name="_Toc1247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56FB9E8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0952"/>
      <w:r>
        <w:rPr>
          <w:rFonts w:hint="eastAsia"/>
          <w:lang w:val="en-US" w:eastAsia="zh-CN"/>
        </w:rPr>
        <w:t>服务报告管理制度</w:t>
      </w:r>
      <w:bookmarkEnd w:id="1"/>
    </w:p>
    <w:p w14:paraId="19987EE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31DD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D47FF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23D999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DDF8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5791F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17EFB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D2A9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6373A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16FFA0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34C9B2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AB029D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A3C03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B1BFC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68B99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1D045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CB04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4739D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12CBC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25BD0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21C26D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  <w:shd w:val="clear" w:color="auto" w:fill="auto"/>
          </w:tcPr>
          <w:p w14:paraId="146DB0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66439A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1C72E4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627F93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1FC867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3D862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50AFC0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62D847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 w14:paraId="7CC4F9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添加核心培养</w:t>
            </w:r>
          </w:p>
        </w:tc>
        <w:tc>
          <w:tcPr>
            <w:tcW w:w="1829" w:type="dxa"/>
            <w:shd w:val="clear" w:color="auto" w:fill="auto"/>
          </w:tcPr>
          <w:p w14:paraId="0C9CF2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64673A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279F44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368C44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02E1A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B24E68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CCB5BC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67FBA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5DA21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7AE2CD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279DA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E1B3C2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8CE59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C3200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3D6A5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FA55A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59762F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CD2294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0A7CA9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9DF1D4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_Toc12470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6ECFB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服务报告管理制度</w:t>
          </w:r>
          <w:r>
            <w:tab/>
          </w:r>
          <w:r>
            <w:fldChar w:fldCharType="begin"/>
          </w:r>
          <w:r>
            <w:instrText xml:space="preserve"> PAGEREF _Toc20952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C868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_Toc17874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DF31D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_Toc11508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C7F72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_Toc4818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7E9C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_Toc8729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136F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报告编制人</w:t>
          </w:r>
          <w:r>
            <w:tab/>
          </w:r>
          <w:r>
            <w:fldChar w:fldCharType="begin"/>
          </w:r>
          <w:r>
            <w:instrText xml:space="preserve"> PAGEREF _Toc14735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00656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报告审核人</w:t>
          </w:r>
          <w:r>
            <w:tab/>
          </w:r>
          <w:r>
            <w:fldChar w:fldCharType="begin"/>
          </w:r>
          <w:r>
            <w:instrText xml:space="preserve"> PAGEREF _Toc19320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31CDE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报告归档与管理方</w:t>
          </w:r>
          <w:r>
            <w:tab/>
          </w:r>
          <w:r>
            <w:fldChar w:fldCharType="begin"/>
          </w:r>
          <w:r>
            <w:instrText xml:space="preserve"> PAGEREF _Toc21580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19C81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报告分类与提交计划</w:t>
          </w:r>
          <w:r>
            <w:tab/>
          </w:r>
          <w:r>
            <w:fldChar w:fldCharType="begin"/>
          </w:r>
          <w:r>
            <w:instrText xml:space="preserve"> PAGEREF _Toc26582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2F2A1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报告管理策略</w:t>
          </w:r>
          <w:r>
            <w:tab/>
          </w:r>
          <w:r>
            <w:fldChar w:fldCharType="begin"/>
          </w:r>
          <w:r>
            <w:instrText xml:space="preserve"> PAGEREF _Toc9756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1D7D6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报告核心内容要求</w:t>
          </w:r>
          <w:r>
            <w:tab/>
          </w:r>
          <w:r>
            <w:fldChar w:fldCharType="begin"/>
          </w:r>
          <w:r>
            <w:instrText xml:space="preserve"> PAGEREF _Toc14285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E2A3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外部服务报告</w:t>
          </w:r>
          <w:r>
            <w:tab/>
          </w:r>
          <w:r>
            <w:fldChar w:fldCharType="begin"/>
          </w:r>
          <w:r>
            <w:instrText xml:space="preserve"> PAGEREF _Toc14238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FE65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内部服务报告</w:t>
          </w:r>
          <w:r>
            <w:tab/>
          </w:r>
          <w:r>
            <w:fldChar w:fldCharType="begin"/>
          </w:r>
          <w:r>
            <w:instrText xml:space="preserve"> PAGEREF _Toc2606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720E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报告管理流程</w:t>
          </w:r>
          <w:r>
            <w:tab/>
          </w:r>
          <w:r>
            <w:fldChar w:fldCharType="begin"/>
          </w:r>
          <w:r>
            <w:instrText xml:space="preserve"> PAGEREF _Toc2661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DBF6F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_Toc6202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220EE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_Toc8386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C3FE2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AC545F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EDD7EB3">
      <w:pPr>
        <w:pStyle w:val="28"/>
        <w:bidi w:val="0"/>
        <w:rPr>
          <w:rFonts w:hint="default"/>
          <w:lang w:val="en-US" w:eastAsia="zh-CN"/>
        </w:rPr>
      </w:pPr>
      <w:bookmarkStart w:id="2" w:name="_Toc17874"/>
      <w:r>
        <w:rPr>
          <w:rFonts w:hint="default"/>
          <w:lang w:val="en-US" w:eastAsia="zh-CN"/>
        </w:rPr>
        <w:t>总则</w:t>
      </w:r>
      <w:bookmarkEnd w:id="2"/>
    </w:p>
    <w:p w14:paraId="74C4A260">
      <w:pPr>
        <w:pStyle w:val="30"/>
        <w:bidi w:val="0"/>
        <w:rPr>
          <w:rFonts w:hint="default"/>
          <w:lang w:val="en-US" w:eastAsia="zh-CN"/>
        </w:rPr>
      </w:pPr>
      <w:bookmarkStart w:id="3" w:name="_Toc11508"/>
      <w:r>
        <w:rPr>
          <w:rFonts w:hint="default"/>
          <w:lang w:val="en-US" w:eastAsia="zh-CN"/>
        </w:rPr>
        <w:t>目的</w:t>
      </w:r>
      <w:bookmarkEnd w:id="3"/>
    </w:p>
    <w:p w14:paraId="62FB16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过程中各类报告与总结的生成、审核、发布与归档管理，确保服务过程透明、绩效可衡量、信息可追溯，并通过对服务数据的系统分析，为服务质量持续改进、管理决策及客户沟通提供可靠依据，特制定本制度。</w:t>
      </w:r>
    </w:p>
    <w:p w14:paraId="5C86B304">
      <w:pPr>
        <w:pStyle w:val="30"/>
        <w:bidi w:val="0"/>
        <w:rPr>
          <w:rFonts w:hint="default"/>
          <w:lang w:val="en-US" w:eastAsia="zh-CN"/>
        </w:rPr>
      </w:pPr>
      <w:bookmarkStart w:id="4" w:name="_Toc4818"/>
      <w:r>
        <w:rPr>
          <w:rFonts w:hint="default"/>
          <w:lang w:val="en-US" w:eastAsia="zh-CN"/>
        </w:rPr>
        <w:t>适用范围</w:t>
      </w:r>
      <w:bookmarkEnd w:id="4"/>
    </w:p>
    <w:p w14:paraId="0CC685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本制度适用于公司为提供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而产生的所有服务报告与服务总结，包括但不限于向客户提交的外部报告及用于内部管理的总结报告。</w:t>
      </w:r>
    </w:p>
    <w:p w14:paraId="4DD02B11">
      <w:pPr>
        <w:pStyle w:val="28"/>
        <w:bidi w:val="0"/>
        <w:rPr>
          <w:rFonts w:hint="default"/>
          <w:lang w:val="en-US" w:eastAsia="zh-CN"/>
        </w:rPr>
      </w:pPr>
      <w:bookmarkStart w:id="5" w:name="_Toc8729"/>
      <w:r>
        <w:rPr>
          <w:rFonts w:hint="default"/>
          <w:lang w:val="en-US" w:eastAsia="zh-CN"/>
        </w:rPr>
        <w:t>职责分工</w:t>
      </w:r>
      <w:bookmarkEnd w:id="5"/>
    </w:p>
    <w:p w14:paraId="613A96D2">
      <w:pPr>
        <w:pStyle w:val="30"/>
        <w:bidi w:val="0"/>
        <w:rPr>
          <w:rFonts w:hint="default"/>
          <w:lang w:val="en-US" w:eastAsia="zh-CN"/>
        </w:rPr>
      </w:pPr>
      <w:bookmarkStart w:id="6" w:name="_Toc14735"/>
      <w:r>
        <w:rPr>
          <w:rFonts w:hint="default"/>
          <w:lang w:val="en-US" w:eastAsia="zh-CN"/>
        </w:rPr>
        <w:t>报告编制人</w:t>
      </w:r>
      <w:bookmarkEnd w:id="6"/>
    </w:p>
    <w:p w14:paraId="47AF00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责任人：各项目运维项目经理。</w:t>
      </w:r>
    </w:p>
    <w:p w14:paraId="4CF3226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职责：负责依据本制度及合同约定，按时、保质编制《服务报告》与《服务总结》；确保报告数据真实、准确、完整；对报告内容的客观性负责。</w:t>
      </w:r>
    </w:p>
    <w:p w14:paraId="04F52AD6">
      <w:pPr>
        <w:pStyle w:val="30"/>
        <w:bidi w:val="0"/>
        <w:rPr>
          <w:rFonts w:hint="default"/>
          <w:lang w:val="en-US" w:eastAsia="zh-CN"/>
        </w:rPr>
      </w:pPr>
      <w:bookmarkStart w:id="7" w:name="_Toc19320"/>
      <w:r>
        <w:rPr>
          <w:rFonts w:hint="default"/>
          <w:lang w:val="en-US" w:eastAsia="zh-CN"/>
        </w:rPr>
        <w:t>报告审核人</w:t>
      </w:r>
      <w:bookmarkEnd w:id="7"/>
    </w:p>
    <w:p w14:paraId="18FE80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责任人：运维部经理。</w:t>
      </w:r>
    </w:p>
    <w:p w14:paraId="4F1A72B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职责：负责审核报告内容的规范性、准确性与合规性；审批报告中涉及的改进措施及资源需求；对报告中出现的重大异常情况予以关注并决策。</w:t>
      </w:r>
    </w:p>
    <w:p w14:paraId="0F2EBEE6">
      <w:pPr>
        <w:pStyle w:val="30"/>
        <w:bidi w:val="0"/>
        <w:rPr>
          <w:rFonts w:hint="default"/>
          <w:lang w:val="en-US" w:eastAsia="zh-CN"/>
        </w:rPr>
      </w:pPr>
      <w:bookmarkStart w:id="8" w:name="_Toc21580"/>
      <w:r>
        <w:rPr>
          <w:rFonts w:hint="default"/>
          <w:lang w:val="en-US" w:eastAsia="zh-CN"/>
        </w:rPr>
        <w:t>报告归档与管理方</w:t>
      </w:r>
      <w:bookmarkEnd w:id="8"/>
    </w:p>
    <w:p w14:paraId="58319F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责任人：运维部（协同质量管理部）。</w:t>
      </w:r>
    </w:p>
    <w:p w14:paraId="2F8D22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职责：负责制定和维护报告模板；监督报告按时提交；统一归档所有正式报告；定期对报告质量进行抽查；分析报告趋势，为部门及公司级改进提供输入。</w:t>
      </w:r>
    </w:p>
    <w:p w14:paraId="113E5B00">
      <w:pPr>
        <w:pStyle w:val="28"/>
        <w:bidi w:val="0"/>
        <w:rPr>
          <w:rFonts w:hint="default"/>
          <w:lang w:val="en-US" w:eastAsia="zh-CN"/>
        </w:rPr>
      </w:pPr>
      <w:bookmarkStart w:id="9" w:name="_Toc26582"/>
      <w:r>
        <w:rPr>
          <w:rFonts w:hint="default"/>
          <w:lang w:val="en-US" w:eastAsia="zh-CN"/>
        </w:rPr>
        <w:t>报告分类与提交计划</w:t>
      </w:r>
      <w:bookmarkEnd w:id="9"/>
    </w:p>
    <w:p w14:paraId="25DA96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服务报告根据汇报对象与用途，主要分为两类：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3"/>
        <w:gridCol w:w="810"/>
        <w:gridCol w:w="3258"/>
        <w:gridCol w:w="1864"/>
        <w:gridCol w:w="1943"/>
      </w:tblGrid>
      <w:tr w14:paraId="23FEC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B21609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报告类型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2E8FE7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主要对象</w:t>
            </w:r>
          </w:p>
        </w:tc>
        <w:tc>
          <w:tcPr>
            <w:tcW w:w="325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2A6360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核心目的</w:t>
            </w:r>
          </w:p>
        </w:tc>
        <w:tc>
          <w:tcPr>
            <w:tcW w:w="186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E8976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提交频率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7D4855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分发范围</w:t>
            </w:r>
          </w:p>
        </w:tc>
      </w:tr>
      <w:tr w14:paraId="1892D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41C88B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EA45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</w:t>
            </w:r>
          </w:p>
        </w:tc>
        <w:tc>
          <w:tcPr>
            <w:tcW w:w="325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57D3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向客户透明化展示服务绩效、工作量、SLA达成情况及改进计划，提升客户满意度与信任度。</w:t>
            </w:r>
          </w:p>
        </w:tc>
        <w:tc>
          <w:tcPr>
            <w:tcW w:w="186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8350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月度/按SLA约定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9A36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客户接口人、公司运维部、质量管理部备案</w:t>
            </w:r>
          </w:p>
        </w:tc>
      </w:tr>
      <w:tr w14:paraId="59328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B6C0EB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服务总结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AD40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内部管理</w:t>
            </w:r>
          </w:p>
        </w:tc>
        <w:tc>
          <w:tcPr>
            <w:tcW w:w="325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8504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项目内部复盘，分析服务指标、资源效率、流程合规性，为内部考核、能力提升及资源规划提供依据。</w:t>
            </w:r>
          </w:p>
        </w:tc>
        <w:tc>
          <w:tcPr>
            <w:tcW w:w="186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198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月度/年度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BDB6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运维部、质量管理部、相关项目组成员</w:t>
            </w:r>
          </w:p>
        </w:tc>
      </w:tr>
    </w:tbl>
    <w:p w14:paraId="76CE69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注：具体提交周期、方式及详细范围应在《服务级别协议》或项目计划中明确。</w:t>
      </w:r>
    </w:p>
    <w:p w14:paraId="4302398D">
      <w:pPr>
        <w:pStyle w:val="28"/>
        <w:bidi w:val="0"/>
        <w:rPr>
          <w:rFonts w:hint="default"/>
          <w:lang w:val="en-US" w:eastAsia="zh-CN"/>
        </w:rPr>
      </w:pPr>
      <w:bookmarkStart w:id="10" w:name="_Toc9756"/>
      <w:r>
        <w:rPr>
          <w:rFonts w:hint="default"/>
          <w:lang w:val="en-US" w:eastAsia="zh-CN"/>
        </w:rPr>
        <w:t>报告管理策略</w:t>
      </w:r>
      <w:bookmarkEnd w:id="10"/>
    </w:p>
    <w:p w14:paraId="2AE0401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服务报告的管理应遵循以下策略：</w:t>
      </w:r>
    </w:p>
    <w:p w14:paraId="3FB4C3D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需求导向：报告内容与格式需预先与客户及内部管理层沟通确认，满足其决策与监督需求。</w:t>
      </w:r>
    </w:p>
    <w:p w14:paraId="6A8CF7A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数据驱动：报告中的关键绩效指标（KPI）必须可测量、可验证，并提供历史趋势对比分析。</w:t>
      </w:r>
    </w:p>
    <w:p w14:paraId="563F071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质量保证：确保报告的及时性、准确性、可靠性与一致性。报告应经过审核流程后方可发布。</w:t>
      </w:r>
    </w:p>
    <w:p w14:paraId="77BC544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呈现清晰：采用图表等直观形式呈现数据，语言应简洁、专业、避免歧义，便于不同背景的读者理解。</w:t>
      </w:r>
    </w:p>
    <w:p w14:paraId="7E3B21E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持续改进：报告不仅反映现状，更应分析根因，提出切实可行的改进建议或行动计划。</w:t>
      </w:r>
    </w:p>
    <w:p w14:paraId="0D9CBE06">
      <w:pPr>
        <w:pStyle w:val="28"/>
        <w:bidi w:val="0"/>
        <w:rPr>
          <w:rFonts w:hint="default"/>
          <w:lang w:val="en-US" w:eastAsia="zh-CN"/>
        </w:rPr>
      </w:pPr>
      <w:bookmarkStart w:id="11" w:name="_Toc14285"/>
      <w:r>
        <w:rPr>
          <w:rFonts w:hint="default"/>
          <w:lang w:val="en-US" w:eastAsia="zh-CN"/>
        </w:rPr>
        <w:t>报告核心内容要求</w:t>
      </w:r>
      <w:bookmarkEnd w:id="11"/>
    </w:p>
    <w:p w14:paraId="3F82571B">
      <w:pPr>
        <w:pStyle w:val="30"/>
        <w:bidi w:val="0"/>
        <w:rPr>
          <w:rFonts w:hint="default"/>
          <w:lang w:val="en-US" w:eastAsia="zh-CN"/>
        </w:rPr>
      </w:pPr>
      <w:bookmarkStart w:id="12" w:name="_Toc14238"/>
      <w:r>
        <w:rPr>
          <w:rFonts w:hint="eastAsia"/>
          <w:lang w:val="en-US" w:eastAsia="zh-CN"/>
        </w:rPr>
        <w:t>外部服务报告</w:t>
      </w:r>
      <w:bookmarkEnd w:id="12"/>
    </w:p>
    <w:p w14:paraId="2F064E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执行摘要：本期核心绩效、重大成就与关键问题的概述。</w:t>
      </w:r>
    </w:p>
    <w:p w14:paraId="22B9C5B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服务级别达成分析：对照SLA，逐项说明各项指标（如可用性、响应时间、解决时间等）的达成情况，对未达标项进行根本原因分析。</w:t>
      </w:r>
    </w:p>
    <w:p w14:paraId="2940B6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服务工作量综述：处理的事件、服务请求、变更的数量统计与分类分析。</w:t>
      </w:r>
    </w:p>
    <w:p w14:paraId="38C06F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重大事件回顾：重大故障或变更的实施过程、影响、解决措施及经验教训。</w:t>
      </w:r>
    </w:p>
    <w:p w14:paraId="07E161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客户满意度反馈：本期收集到的客户反馈摘要及处理情况。</w:t>
      </w:r>
    </w:p>
    <w:p w14:paraId="4C3675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改进计划与建议：针对本期问题的改进措施，以及为提升服务价值提出的优化建议。</w:t>
      </w:r>
    </w:p>
    <w:p w14:paraId="0DBB26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下阶段工作计划：下一报告周期内的主要工作计划与承诺。</w:t>
      </w:r>
    </w:p>
    <w:p w14:paraId="5446CD1A">
      <w:pPr>
        <w:pStyle w:val="30"/>
        <w:bidi w:val="0"/>
        <w:rPr>
          <w:rFonts w:hint="eastAsia"/>
          <w:lang w:val="en-US" w:eastAsia="zh-CN"/>
        </w:rPr>
      </w:pPr>
      <w:bookmarkStart w:id="13" w:name="_Toc2606"/>
      <w:r>
        <w:rPr>
          <w:rFonts w:hint="eastAsia"/>
          <w:lang w:val="en-US" w:eastAsia="zh-CN"/>
        </w:rPr>
        <w:t>内部服务报告</w:t>
      </w:r>
      <w:bookmarkEnd w:id="13"/>
    </w:p>
    <w:p w14:paraId="3B54C3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项目绩效深度分析：SLA达成趋势、资源（人力/工具）利用率、成本效率分析。</w:t>
      </w:r>
    </w:p>
    <w:p w14:paraId="52BBBC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流程合规性检查：总结事件、问题、变更、配置等流程的执行是否符合公司质量体系与ITSS标准。</w:t>
      </w:r>
    </w:p>
    <w:p w14:paraId="713046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团队能力与知识管理：技能培训效果、知识库贡献、典型案例积累情况。</w:t>
      </w:r>
    </w:p>
    <w:p w14:paraId="5B49035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风险与问题汇总：识别出的运营风险、重复发生的问题及长期改进项。</w:t>
      </w:r>
    </w:p>
    <w:p w14:paraId="361CA24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内部改进计划：针对内部流程、工具、技能的优化措施与行动计划。</w:t>
      </w:r>
    </w:p>
    <w:p w14:paraId="122313B1">
      <w:pPr>
        <w:pStyle w:val="28"/>
        <w:bidi w:val="0"/>
        <w:rPr>
          <w:rFonts w:hint="default"/>
          <w:lang w:val="en-US" w:eastAsia="zh-CN"/>
        </w:rPr>
      </w:pPr>
      <w:bookmarkStart w:id="14" w:name="_Toc2661"/>
      <w:r>
        <w:rPr>
          <w:rFonts w:hint="default"/>
          <w:lang w:val="en-US" w:eastAsia="zh-CN"/>
        </w:rPr>
        <w:t>报告管理流程</w:t>
      </w:r>
      <w:bookmarkEnd w:id="14"/>
    </w:p>
    <w:p w14:paraId="5374309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计划与准备：运维部根据SLA要求，制定年度/季度报告计划。运维项目经理负责日常数据收集与记录。</w:t>
      </w:r>
    </w:p>
    <w:p w14:paraId="67B166C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编制：报告周期结束后，运维项目经理依据模板在规定时间内完成报告编制。</w:t>
      </w:r>
    </w:p>
    <w:p w14:paraId="2129AEA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审核：编制完成的报告提交至运维部经理审核。审核重点包括数据准确性、结论客观性、改进措施可行性等。涉及重大事项需报更高层级审批。</w:t>
      </w:r>
    </w:p>
    <w:p w14:paraId="16647BC7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发布与提交：审核通过后的《服务报告》按约定方式提交给客户；《服务总结》提交至相关部门及管理层。</w:t>
      </w:r>
    </w:p>
    <w:p w14:paraId="37483B6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归档：运维部负责将最终版报告进行统一归档，确保版本受控、便于查阅。</w:t>
      </w:r>
    </w:p>
    <w:p w14:paraId="0E7E9D91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回顾与利用：质量管理部及运维部管理层定期回顾报告内容，将其作为管理评审、流程优化和年度规划的重要输入。</w:t>
      </w:r>
    </w:p>
    <w:p w14:paraId="65C8F85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6202"/>
      <w:r>
        <w:rPr>
          <w:rFonts w:hint="eastAsia"/>
          <w:lang w:val="en-US" w:eastAsia="zh-CN"/>
        </w:rPr>
        <w:t>考核指标</w:t>
      </w:r>
      <w:bookmarkEnd w:id="15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 w14:paraId="153AE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004A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E175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91FE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B551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486FA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041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服务报告交付及时率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660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DE3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（服务报告按时提交的数量/服务报告总数量）*100%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80C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6DE61FE0">
      <w:pPr>
        <w:pStyle w:val="28"/>
        <w:bidi w:val="0"/>
        <w:rPr>
          <w:rFonts w:hint="default"/>
          <w:lang w:val="en-US" w:eastAsia="zh-CN"/>
        </w:rPr>
      </w:pPr>
      <w:bookmarkStart w:id="16" w:name="_Toc8386"/>
      <w:r>
        <w:rPr>
          <w:rFonts w:hint="default"/>
          <w:lang w:val="en-US" w:eastAsia="zh-CN"/>
        </w:rPr>
        <w:t>附则</w:t>
      </w:r>
      <w:bookmarkEnd w:id="16"/>
    </w:p>
    <w:p w14:paraId="2C3FAA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本制度由运维部负责解释与修订。</w:t>
      </w:r>
    </w:p>
    <w:p w14:paraId="7870DF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本制度自发布之日起生效。原相关管理规定与本制度不一致的，以本制度为准。</w:t>
      </w:r>
    </w:p>
    <w:p w14:paraId="63A96F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本制度涉及的《服务报告模板》、《服务总结模板》等，由运维部负责制定与更新。</w:t>
      </w:r>
    </w:p>
    <w:p w14:paraId="48CCC5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FFDB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19CC06"/>
    <w:multiLevelType w:val="singleLevel"/>
    <w:tmpl w:val="9A19CC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10A99EF"/>
    <w:multiLevelType w:val="singleLevel"/>
    <w:tmpl w:val="A10A99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9D034BF"/>
    <w:rsid w:val="3442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1977</Words>
  <Characters>2094</Characters>
  <Lines>0</Lines>
  <Paragraphs>0</Paragraphs>
  <TotalTime>0</TotalTime>
  <ScaleCrop>false</ScaleCrop>
  <LinksUpToDate>false</LinksUpToDate>
  <CharactersWithSpaces>2160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2026-04-24T22:34:39Z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