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CAE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76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92B467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6429"/>
      <w:r>
        <w:rPr>
          <w:rFonts w:hint="eastAsia"/>
          <w:lang w:val="en-US" w:eastAsia="zh-CN"/>
        </w:rPr>
        <w:t>运维交付管理制度</w:t>
      </w:r>
      <w:bookmarkEnd w:id="1"/>
    </w:p>
    <w:p w14:paraId="046C96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01BC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8B10A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B7A6A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BE1D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908C2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6920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7363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1D4A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E904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126F2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D832C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60FF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DFDC5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B093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A4F7D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508EC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DC00F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366EB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85E2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vAlign w:val="top"/>
          </w:tcPr>
          <w:p w14:paraId="05E8C6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vAlign w:val="top"/>
          </w:tcPr>
          <w:p w14:paraId="7D910A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vAlign w:val="top"/>
          </w:tcPr>
          <w:p w14:paraId="267C3D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  <w:vAlign w:val="top"/>
          </w:tcPr>
          <w:p w14:paraId="5043A2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vAlign w:val="top"/>
          </w:tcPr>
          <w:p w14:paraId="1C4D6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vAlign w:val="top"/>
          </w:tcPr>
          <w:p w14:paraId="59BA83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8392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649AB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AE336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5A7CF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0400D9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6DF7D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</w:tcPr>
          <w:p w14:paraId="590EF5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3DE40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6E879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361E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EFF4A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766E9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9955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4E763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4C599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08036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57596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B4E87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78AB2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FE68B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62B93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A2E64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6326D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D26DF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_Toc4767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9F5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2167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_Toc28589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2385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9111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_Toc31246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B27C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服务交付</w:t>
          </w:r>
          <w:r>
            <w:tab/>
          </w:r>
          <w:r>
            <w:fldChar w:fldCharType="begin"/>
          </w:r>
          <w:r>
            <w:instrText xml:space="preserve"> PAGEREF _Toc6081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CBE7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交付物</w:t>
          </w:r>
          <w:r>
            <w:tab/>
          </w:r>
          <w:r>
            <w:fldChar w:fldCharType="begin"/>
          </w:r>
          <w:r>
            <w:instrText xml:space="preserve"> PAGEREF _Toc13364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F4E7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交付经理</w:t>
          </w:r>
          <w:r>
            <w:tab/>
          </w:r>
          <w:r>
            <w:fldChar w:fldCharType="begin"/>
          </w:r>
          <w:r>
            <w:instrText xml:space="preserve"> PAGEREF _Toc28578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19E2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管理原则</w:t>
          </w:r>
          <w:r>
            <w:tab/>
          </w:r>
          <w:r>
            <w:fldChar w:fldCharType="begin"/>
          </w:r>
          <w:r>
            <w:instrText xml:space="preserve"> PAGEREF _Toc30389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FE5E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_Toc12893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998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运维部</w:t>
          </w:r>
          <w:r>
            <w:tab/>
          </w:r>
          <w:r>
            <w:fldChar w:fldCharType="begin"/>
          </w:r>
          <w:r>
            <w:instrText xml:space="preserve"> PAGEREF _Toc22002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46A2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质量管理部</w:t>
          </w:r>
          <w:r>
            <w:tab/>
          </w:r>
          <w:r>
            <w:fldChar w:fldCharType="begin"/>
          </w:r>
          <w:r>
            <w:instrText xml:space="preserve"> PAGEREF _Toc19446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5C78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研发部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4509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服务知识专员</w:t>
          </w:r>
          <w:r>
            <w:tab/>
          </w:r>
          <w:r>
            <w:fldChar w:fldCharType="begin"/>
          </w:r>
          <w:r>
            <w:instrText xml:space="preserve"> PAGEREF _Toc26135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6525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交付内容与方式</w:t>
          </w:r>
          <w:r>
            <w:tab/>
          </w:r>
          <w:r>
            <w:fldChar w:fldCharType="begin"/>
          </w:r>
          <w:r>
            <w:instrText xml:space="preserve"> PAGEREF _Toc18049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6162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交付内容</w:t>
          </w:r>
          <w:r>
            <w:tab/>
          </w:r>
          <w:r>
            <w:fldChar w:fldCharType="begin"/>
          </w:r>
          <w:r>
            <w:instrText xml:space="preserve"> PAGEREF _Toc24913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DE0F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交付方式</w:t>
          </w:r>
          <w:r>
            <w:tab/>
          </w:r>
          <w:r>
            <w:fldChar w:fldCharType="begin"/>
          </w:r>
          <w:r>
            <w:instrText xml:space="preserve"> PAGEREF _Toc18023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25A6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服务交付过程管理</w:t>
          </w:r>
          <w:r>
            <w:tab/>
          </w:r>
          <w:r>
            <w:fldChar w:fldCharType="begin"/>
          </w:r>
          <w:r>
            <w:instrText xml:space="preserve"> PAGEREF _Toc31112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88A0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交付策划</w:t>
          </w:r>
          <w:r>
            <w:tab/>
          </w:r>
          <w:r>
            <w:fldChar w:fldCharType="begin"/>
          </w:r>
          <w:r>
            <w:instrText xml:space="preserve"> PAGEREF _Toc28713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8E3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交付实施</w:t>
          </w:r>
          <w:r>
            <w:tab/>
          </w:r>
          <w:r>
            <w:fldChar w:fldCharType="begin"/>
          </w:r>
          <w:r>
            <w:instrText xml:space="preserve"> PAGEREF _Toc30379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5DC2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交付检查</w:t>
          </w:r>
          <w:r>
            <w:tab/>
          </w:r>
          <w:r>
            <w:fldChar w:fldCharType="begin"/>
          </w:r>
          <w:r>
            <w:instrText xml:space="preserve"> PAGEREF _Toc5286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4CF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交付回顾与改进</w:t>
          </w:r>
          <w:r>
            <w:tab/>
          </w:r>
          <w:r>
            <w:fldChar w:fldCharType="begin"/>
          </w:r>
          <w:r>
            <w:instrText xml:space="preserve"> PAGEREF _Toc5150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D85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交付物管理</w:t>
          </w:r>
          <w:r>
            <w:tab/>
          </w:r>
          <w:r>
            <w:fldChar w:fldCharType="begin"/>
          </w:r>
          <w:r>
            <w:instrText xml:space="preserve"> PAGEREF _Toc32688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3567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_Toc23680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6860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_Toc3884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17C8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2020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007AEF">
      <w:pPr>
        <w:pStyle w:val="28"/>
        <w:bidi w:val="0"/>
        <w:rPr>
          <w:rFonts w:hint="default"/>
          <w:lang w:val="en-US" w:eastAsia="zh-CN"/>
        </w:rPr>
      </w:pPr>
      <w:bookmarkStart w:id="2" w:name="_Toc28589"/>
      <w:r>
        <w:rPr>
          <w:rFonts w:hint="default"/>
          <w:lang w:val="en-US" w:eastAsia="zh-CN"/>
        </w:rPr>
        <w:t>目的</w:t>
      </w:r>
      <w:bookmarkEnd w:id="2"/>
    </w:p>
    <w:p w14:paraId="0B2B935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为规范公司运维服务的交付管理，明确交付内容、方式与质量标准，确保服务按既定协议有效交付，提升客户满意度与交付效率，并为ITSS符合性评估提供依据，特制定本制度。</w:t>
      </w:r>
    </w:p>
    <w:p w14:paraId="1A5A253C">
      <w:pPr>
        <w:pStyle w:val="28"/>
        <w:bidi w:val="0"/>
        <w:rPr>
          <w:rFonts w:hint="default"/>
          <w:lang w:val="en-US" w:eastAsia="zh-CN"/>
        </w:rPr>
      </w:pPr>
      <w:bookmarkStart w:id="3" w:name="_Toc7252"/>
      <w:r>
        <w:rPr>
          <w:rFonts w:hint="default"/>
          <w:lang w:val="en-US" w:eastAsia="zh-CN"/>
        </w:rPr>
        <w:t>适用范围</w:t>
      </w:r>
      <w:bookmarkEnd w:id="3"/>
    </w:p>
    <w:p w14:paraId="27FD7A0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本制度适用于公司向客户提供的所有运维服务（含基础软件、应用软件</w:t>
      </w:r>
      <w:r>
        <w:rPr>
          <w:rFonts w:hint="eastAsia"/>
          <w:lang w:val="en-US" w:eastAsia="zh-CN"/>
        </w:rPr>
        <w:t>、硬件</w:t>
      </w:r>
      <w:bookmarkStart w:id="25" w:name="_GoBack"/>
      <w:bookmarkEnd w:id="25"/>
      <w:r>
        <w:rPr>
          <w:rFonts w:hint="default"/>
          <w:lang w:val="en-US" w:eastAsia="zh-CN"/>
        </w:rPr>
        <w:t>）的交付活动全过程管理。</w:t>
      </w:r>
    </w:p>
    <w:p w14:paraId="11562D14">
      <w:pPr>
        <w:pStyle w:val="28"/>
        <w:bidi w:val="0"/>
        <w:rPr>
          <w:rFonts w:hint="default"/>
          <w:lang w:val="en-US" w:eastAsia="zh-CN"/>
        </w:rPr>
      </w:pPr>
      <w:bookmarkStart w:id="4" w:name="_Toc31246"/>
      <w:r>
        <w:rPr>
          <w:rFonts w:hint="default"/>
          <w:lang w:val="en-US" w:eastAsia="zh-CN"/>
        </w:rPr>
        <w:t>定义与术语</w:t>
      </w:r>
      <w:bookmarkEnd w:id="4"/>
    </w:p>
    <w:p w14:paraId="684F9EAD">
      <w:pPr>
        <w:pStyle w:val="30"/>
        <w:bidi w:val="0"/>
        <w:rPr>
          <w:rFonts w:hint="default"/>
          <w:lang w:val="en-US" w:eastAsia="zh-CN"/>
        </w:rPr>
      </w:pPr>
      <w:bookmarkStart w:id="5" w:name="_Toc6081"/>
      <w:r>
        <w:rPr>
          <w:rFonts w:hint="default"/>
          <w:lang w:val="en-US" w:eastAsia="zh-CN"/>
        </w:rPr>
        <w:t>服务交付</w:t>
      </w:r>
      <w:bookmarkEnd w:id="5"/>
    </w:p>
    <w:p w14:paraId="24D465D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指依据《服务级别协议》（SLA），通过一系列组织协调、资源调配和技术活动，向客户提供约定服务并输出成果的完整过程。</w:t>
      </w:r>
    </w:p>
    <w:p w14:paraId="20062CB5">
      <w:pPr>
        <w:pStyle w:val="30"/>
        <w:bidi w:val="0"/>
        <w:rPr>
          <w:rFonts w:hint="default"/>
          <w:lang w:val="en-US" w:eastAsia="zh-CN"/>
        </w:rPr>
      </w:pPr>
      <w:bookmarkStart w:id="6" w:name="_Toc13364"/>
      <w:r>
        <w:rPr>
          <w:rFonts w:hint="default"/>
          <w:lang w:val="en-US" w:eastAsia="zh-CN"/>
        </w:rPr>
        <w:t>交付物</w:t>
      </w:r>
      <w:bookmarkEnd w:id="6"/>
    </w:p>
    <w:p w14:paraId="765A86E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服务交付过程中产生、需提交给客户或用于内部管理的有形或无形成果。</w:t>
      </w:r>
    </w:p>
    <w:p w14:paraId="7D6111FB">
      <w:pPr>
        <w:pStyle w:val="30"/>
        <w:bidi w:val="0"/>
        <w:rPr>
          <w:rFonts w:hint="default"/>
          <w:lang w:val="en-US" w:eastAsia="zh-CN"/>
        </w:rPr>
      </w:pPr>
      <w:bookmarkStart w:id="7" w:name="_Toc28578"/>
      <w:r>
        <w:rPr>
          <w:rFonts w:hint="default"/>
          <w:lang w:val="en-US" w:eastAsia="zh-CN"/>
        </w:rPr>
        <w:t>交付经理</w:t>
      </w:r>
      <w:bookmarkEnd w:id="7"/>
    </w:p>
    <w:p w14:paraId="70618EF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项目层面由运维项目经理担任，负责具体项目的交付管理；部门层面由运维部经理负责监督与改进。</w:t>
      </w:r>
    </w:p>
    <w:p w14:paraId="2F811BA7">
      <w:pPr>
        <w:pStyle w:val="28"/>
        <w:bidi w:val="0"/>
        <w:rPr>
          <w:rFonts w:hint="default"/>
          <w:lang w:val="en-US" w:eastAsia="zh-CN"/>
        </w:rPr>
      </w:pPr>
      <w:bookmarkStart w:id="8" w:name="_Toc30389"/>
      <w:r>
        <w:rPr>
          <w:rFonts w:hint="default"/>
          <w:lang w:val="en-US" w:eastAsia="zh-CN"/>
        </w:rPr>
        <w:t>管理原则</w:t>
      </w:r>
      <w:bookmarkEnd w:id="8"/>
    </w:p>
    <w:p w14:paraId="53FC75C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客户价值导向： 以保障客户业务连续性和满足SLA为核心目标。</w:t>
      </w:r>
    </w:p>
    <w:p w14:paraId="3CC4A1C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过程标准可控： 遵循标准化的交付流程，确保过程可追溯、质量可控制。</w:t>
      </w:r>
    </w:p>
    <w:p w14:paraId="259DF95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数据驱动决策： 基于服务数据监控和分析，支撑交付过程的优化与决策。</w:t>
      </w:r>
    </w:p>
    <w:p w14:paraId="0C3697AD">
      <w:pPr>
        <w:pStyle w:val="28"/>
        <w:bidi w:val="0"/>
        <w:rPr>
          <w:rFonts w:hint="default"/>
          <w:lang w:val="en-US" w:eastAsia="zh-CN"/>
        </w:rPr>
      </w:pPr>
      <w:bookmarkStart w:id="9" w:name="_Toc12893"/>
      <w:r>
        <w:rPr>
          <w:rFonts w:hint="default"/>
          <w:lang w:val="en-US" w:eastAsia="zh-CN"/>
        </w:rPr>
        <w:t>组织与职责</w:t>
      </w:r>
      <w:bookmarkEnd w:id="9"/>
    </w:p>
    <w:p w14:paraId="40DB1F66">
      <w:pPr>
        <w:pStyle w:val="30"/>
        <w:bidi w:val="0"/>
        <w:rPr>
          <w:rFonts w:hint="default"/>
          <w:lang w:val="en-US" w:eastAsia="zh-CN"/>
        </w:rPr>
      </w:pPr>
      <w:bookmarkStart w:id="10" w:name="_Toc22002"/>
      <w:r>
        <w:rPr>
          <w:rFonts w:hint="default"/>
          <w:lang w:val="en-US" w:eastAsia="zh-CN"/>
        </w:rPr>
        <w:t>运维部</w:t>
      </w:r>
      <w:bookmarkEnd w:id="10"/>
    </w:p>
    <w:p w14:paraId="5614C1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部门经理：负责公司服务交付管理体系的建立、维护与监督；审批重大交付方案；组织对交付绩效的评审与改进。</w:t>
      </w:r>
    </w:p>
    <w:p w14:paraId="0DF48D8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运维项目经理：作为具体项目的交付负责人，负责项目交付策划、资源协调、过程监控、客户沟通及交付成果的最终确认。</w:t>
      </w:r>
    </w:p>
    <w:p w14:paraId="357B984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服务台专员：作为统一接口，负责接收、记录、初步处理及闭环跟踪用户的服务请求与事件，是事件类服务交付的发起与跟踪者。</w:t>
      </w:r>
    </w:p>
    <w:p w14:paraId="214105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运维工程师：负责具体技术服务的执行，是核心交付物的直接生产者。</w:t>
      </w:r>
    </w:p>
    <w:p w14:paraId="16AF8A1B">
      <w:pPr>
        <w:pStyle w:val="30"/>
        <w:bidi w:val="0"/>
        <w:rPr>
          <w:rFonts w:hint="default"/>
          <w:lang w:val="en-US" w:eastAsia="zh-CN"/>
        </w:rPr>
      </w:pPr>
      <w:bookmarkStart w:id="11" w:name="_Toc19446"/>
      <w:r>
        <w:rPr>
          <w:rFonts w:hint="default"/>
          <w:lang w:val="en-US" w:eastAsia="zh-CN"/>
        </w:rPr>
        <w:t>质量管理部</w:t>
      </w:r>
      <w:bookmarkEnd w:id="11"/>
    </w:p>
    <w:p w14:paraId="09E2BA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负责监督服务交付过程的合规性。</w:t>
      </w:r>
    </w:p>
    <w:p w14:paraId="1400D6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负责组织或参与重大交付物的质量评审与客户验收。</w:t>
      </w:r>
    </w:p>
    <w:p w14:paraId="69E6BF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负责组织客户满意度调查，收集交付质量反馈。</w:t>
      </w:r>
    </w:p>
    <w:p w14:paraId="37E731A7">
      <w:pPr>
        <w:pStyle w:val="30"/>
        <w:bidi w:val="0"/>
        <w:rPr>
          <w:rFonts w:hint="default"/>
          <w:lang w:val="en-US" w:eastAsia="zh-CN"/>
        </w:rPr>
      </w:pPr>
      <w:bookmarkStart w:id="12" w:name="_Toc23116"/>
      <w:r>
        <w:rPr>
          <w:rFonts w:hint="default"/>
          <w:lang w:val="en-US" w:eastAsia="zh-CN"/>
        </w:rPr>
        <w:t>研发部</w:t>
      </w:r>
      <w:bookmarkEnd w:id="12"/>
    </w:p>
    <w:p w14:paraId="49B190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负责为软件补丁、升级版本等交付活动提供符合发布标准的技术组件（参见《最终软件库管理制度》）。</w:t>
      </w:r>
    </w:p>
    <w:p w14:paraId="476E5F2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在需要时，为复杂变更或故障排查提供专业技术支持。</w:t>
      </w:r>
    </w:p>
    <w:p w14:paraId="0D32E0A7">
      <w:pPr>
        <w:pStyle w:val="30"/>
        <w:bidi w:val="0"/>
        <w:rPr>
          <w:rFonts w:hint="default"/>
          <w:lang w:val="en-US" w:eastAsia="zh-CN"/>
        </w:rPr>
      </w:pPr>
      <w:bookmarkStart w:id="13" w:name="_Toc26135"/>
      <w:r>
        <w:rPr>
          <w:rFonts w:hint="default"/>
          <w:lang w:val="en-US" w:eastAsia="zh-CN"/>
        </w:rPr>
        <w:t>服务知识专员</w:t>
      </w:r>
      <w:bookmarkEnd w:id="13"/>
    </w:p>
    <w:p w14:paraId="2668D7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负责在交付过程中，推动将解决方案、经验教训转化为知识条目（参见《服务知识管理制度》）。</w:t>
      </w:r>
    </w:p>
    <w:p w14:paraId="02CE03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协助交付团队从知识库中获取历史解决方案，提升交付效率。</w:t>
      </w:r>
    </w:p>
    <w:p w14:paraId="72997612">
      <w:pPr>
        <w:pStyle w:val="28"/>
        <w:bidi w:val="0"/>
        <w:rPr>
          <w:rFonts w:hint="default"/>
          <w:lang w:val="en-US" w:eastAsia="zh-CN"/>
        </w:rPr>
      </w:pPr>
      <w:bookmarkStart w:id="14" w:name="_Toc18049"/>
      <w:r>
        <w:rPr>
          <w:rFonts w:hint="default"/>
          <w:lang w:val="en-US" w:eastAsia="zh-CN"/>
        </w:rPr>
        <w:t>交付内容与方式</w:t>
      </w:r>
      <w:bookmarkEnd w:id="14"/>
    </w:p>
    <w:p w14:paraId="5ADA27DA">
      <w:pPr>
        <w:pStyle w:val="30"/>
        <w:bidi w:val="0"/>
        <w:rPr>
          <w:rFonts w:hint="default"/>
          <w:lang w:val="en-US" w:eastAsia="zh-CN"/>
        </w:rPr>
      </w:pPr>
      <w:bookmarkStart w:id="15" w:name="_Toc24913"/>
      <w:r>
        <w:rPr>
          <w:rFonts w:hint="default"/>
          <w:lang w:val="en-US" w:eastAsia="zh-CN"/>
        </w:rPr>
        <w:t>交付内容</w:t>
      </w:r>
      <w:bookmarkEnd w:id="15"/>
    </w:p>
    <w:p w14:paraId="666CC1C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本公司作为运维服务商，核心交付内容包括但不限于：</w:t>
      </w:r>
    </w:p>
    <w:p w14:paraId="1E18041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事件解决服务：针对软件系统出现的故障、错误或性能下降等问题，提供诊断、定位、修复及验证，恢复系统正常功能。</w:t>
      </w:r>
    </w:p>
    <w:p w14:paraId="5FECD7B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服务请求响应：响应用户关于软件使用、配置、咨询、数据提取等标准化请求，并提供解决方案或结果。</w:t>
      </w:r>
    </w:p>
    <w:p w14:paraId="75C6A95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变更与发布服务：执行经批准的软件版本发布、补丁安装、配置变更等活动，确保变更过程受控、风险最小化。</w:t>
      </w:r>
    </w:p>
    <w:p w14:paraId="4D49365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例行运维服务：包括系统健康检查、性能监控、日志分析、备份验证等预防性维护活动。</w:t>
      </w:r>
    </w:p>
    <w:p w14:paraId="6DF1AAE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服务报告：定期（如月度、季度）提供的《服务级别达成报告》、《运维分析报告》等，反映服务绩效与运行状态。</w:t>
      </w:r>
    </w:p>
    <w:p w14:paraId="204B542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知识传递：在服务过程中向客户提供的操作指导、最佳实践分享以及沉淀至知识库的解决方案。</w:t>
      </w:r>
    </w:p>
    <w:p w14:paraId="3B1E284B">
      <w:pPr>
        <w:pStyle w:val="30"/>
        <w:bidi w:val="0"/>
        <w:rPr>
          <w:rFonts w:hint="default"/>
          <w:lang w:val="en-US" w:eastAsia="zh-CN"/>
        </w:rPr>
      </w:pPr>
      <w:bookmarkStart w:id="16" w:name="_Toc18023"/>
      <w:r>
        <w:rPr>
          <w:rFonts w:hint="default"/>
          <w:lang w:val="en-US" w:eastAsia="zh-CN"/>
        </w:rPr>
        <w:t>交付方式</w:t>
      </w:r>
      <w:bookmarkEnd w:id="16"/>
    </w:p>
    <w:p w14:paraId="1183D8B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根据服务场景和客户需求，主要采用以下交付方式：</w:t>
      </w:r>
    </w:p>
    <w:p w14:paraId="632AA90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远程交付：为主要交付方式。工程师通过安全的网络连接，利用运维工具（参见《运维服务工具管理制度》）对客户软件系统进行远程监控、诊断、修复和操作。适用于绝大多数事件处理、服务请求和例行维护。</w:t>
      </w:r>
    </w:p>
    <w:p w14:paraId="7214E2E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现场交付：在远程无法解决或客户合同明确要求的情况下，指派工程师至客户现场提供服务。适用于重大故障紧急处理、复杂变更实施或特定现场培训等场景。</w:t>
      </w:r>
    </w:p>
    <w:p w14:paraId="31C16A6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自动化交付：通过自动化监控平台和脚本工具，对常规、重复性的巡检、备份、告警响应等任务进行无人值守自动执行与结果报告。</w:t>
      </w:r>
    </w:p>
    <w:p w14:paraId="3D525B7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报告与会议交付：通过电子邮件、客户门户或在线会议等形式，定期或按需交付服务报告，并进行服务回顾沟通。</w:t>
      </w:r>
    </w:p>
    <w:p w14:paraId="1F87DA60">
      <w:pPr>
        <w:pStyle w:val="28"/>
        <w:bidi w:val="0"/>
        <w:rPr>
          <w:rFonts w:hint="default"/>
          <w:lang w:val="en-US" w:eastAsia="zh-CN"/>
        </w:rPr>
      </w:pPr>
      <w:bookmarkStart w:id="17" w:name="_Toc31112"/>
      <w:r>
        <w:rPr>
          <w:rFonts w:hint="default"/>
          <w:lang w:val="en-US" w:eastAsia="zh-CN"/>
        </w:rPr>
        <w:t>服务交付过程管理</w:t>
      </w:r>
      <w:bookmarkEnd w:id="17"/>
    </w:p>
    <w:p w14:paraId="39889FDD">
      <w:pPr>
        <w:pStyle w:val="30"/>
        <w:bidi w:val="0"/>
        <w:rPr>
          <w:rFonts w:hint="default"/>
          <w:lang w:val="en-US" w:eastAsia="zh-CN"/>
        </w:rPr>
      </w:pPr>
      <w:bookmarkStart w:id="18" w:name="_Toc28713"/>
      <w:r>
        <w:rPr>
          <w:rFonts w:hint="default"/>
          <w:lang w:val="en-US" w:eastAsia="zh-CN"/>
        </w:rPr>
        <w:t>交付策划</w:t>
      </w:r>
      <w:bookmarkEnd w:id="18"/>
    </w:p>
    <w:p w14:paraId="29C83E9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输入：SLA、项目合同、客户特定要求。</w:t>
      </w:r>
    </w:p>
    <w:p w14:paraId="3E92F40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活动：运维项目经理制定《服务交付计划》，明确交付范围、资源计划、沟通机制、风险预案及关键里程碑。</w:t>
      </w:r>
    </w:p>
    <w:p w14:paraId="4BDCF44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输出：经批准的《服务交付计划》。</w:t>
      </w:r>
    </w:p>
    <w:p w14:paraId="572B1DA4">
      <w:pPr>
        <w:pStyle w:val="30"/>
        <w:bidi w:val="0"/>
        <w:rPr>
          <w:rFonts w:hint="default"/>
          <w:lang w:val="en-US" w:eastAsia="zh-CN"/>
        </w:rPr>
      </w:pPr>
      <w:bookmarkStart w:id="19" w:name="_Toc30379"/>
      <w:r>
        <w:rPr>
          <w:rFonts w:hint="default"/>
          <w:lang w:val="en-US" w:eastAsia="zh-CN"/>
        </w:rPr>
        <w:t>交付实施</w:t>
      </w:r>
      <w:bookmarkEnd w:id="19"/>
    </w:p>
    <w:p w14:paraId="2E19302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流程触发：服务请求/事件通过服务台统一接入（依据《服务台管理制度》）。</w:t>
      </w:r>
    </w:p>
    <w:p w14:paraId="4F33EFF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资源调用：工程师使用授权运维工具、查询知识库、申请最终软件库版本（依据相关制度）。</w:t>
      </w:r>
    </w:p>
    <w:p w14:paraId="0A37956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执行与记录：严格按照流程解决事件、实施变更或执行维护，并在工单系统中实时、完整记录过程与结果。</w:t>
      </w:r>
    </w:p>
    <w:p w14:paraId="737E4F1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客户确认：服务台进行回访，获取客户对处理结果的确认。</w:t>
      </w:r>
    </w:p>
    <w:p w14:paraId="12C66F04">
      <w:pPr>
        <w:pStyle w:val="30"/>
        <w:bidi w:val="0"/>
        <w:rPr>
          <w:rFonts w:hint="default"/>
          <w:lang w:val="en-US" w:eastAsia="zh-CN"/>
        </w:rPr>
      </w:pPr>
      <w:bookmarkStart w:id="20" w:name="_Toc5286"/>
      <w:r>
        <w:rPr>
          <w:rFonts w:hint="default"/>
          <w:lang w:val="en-US" w:eastAsia="zh-CN"/>
        </w:rPr>
        <w:t>交付检查</w:t>
      </w:r>
      <w:bookmarkEnd w:id="20"/>
    </w:p>
    <w:p w14:paraId="351ACC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为确保交付质量与合规性，建立三级检查机制：</w:t>
      </w:r>
    </w:p>
    <w:p w14:paraId="1A0BC95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过程自查：</w:t>
      </w:r>
    </w:p>
    <w:p w14:paraId="0E4E465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在完成每项交付活动后，对操作记录、解决效果进行自查。</w:t>
      </w:r>
    </w:p>
    <w:p w14:paraId="4560481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质量监控：</w:t>
      </w:r>
    </w:p>
    <w:p w14:paraId="40F78506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实时监控：服务台监控工单响应与解决时限。</w:t>
      </w:r>
    </w:p>
    <w:p w14:paraId="5749A83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抽样审核：运维项目经理定期抽样检查已关闭工单的处理质量与记录规范性。</w:t>
      </w:r>
    </w:p>
    <w:p w14:paraId="6B6E182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独立审计：</w:t>
      </w:r>
    </w:p>
    <w:p w14:paraId="03E033B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合规性审计： 定期审计交付过程是否符合本制度及SLA要求。</w:t>
      </w:r>
    </w:p>
    <w:p w14:paraId="275DEC4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交付物审计： 对提交给客户的服务报告等关键交付物进行内容准确性、格式规范性审查。</w:t>
      </w:r>
    </w:p>
    <w:p w14:paraId="40CF0C81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 定期组织，直接获取客户对交付质量的评价。</w:t>
      </w:r>
    </w:p>
    <w:p w14:paraId="6C627BE9">
      <w:pPr>
        <w:pStyle w:val="30"/>
        <w:bidi w:val="0"/>
        <w:rPr>
          <w:rFonts w:hint="default"/>
          <w:lang w:val="en-US" w:eastAsia="zh-CN"/>
        </w:rPr>
      </w:pPr>
      <w:bookmarkStart w:id="21" w:name="_Toc5150"/>
      <w:r>
        <w:rPr>
          <w:rFonts w:hint="default"/>
          <w:lang w:val="en-US" w:eastAsia="zh-CN"/>
        </w:rPr>
        <w:t>交付回顾与改进</w:t>
      </w:r>
      <w:bookmarkEnd w:id="21"/>
    </w:p>
    <w:p w14:paraId="2623BFEF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项目级回顾：运维项目经理每月主持召开项目交付例会，分析SLA数据、重大事件，制定改进措施。</w:t>
      </w:r>
    </w:p>
    <w:p w14:paraId="3DDD78F5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部门级评审：运维部经理每季度组织评审会，基于《服务数据管理制度》的分析报告，识别体系性问题，并更新交付流程或资源规划。</w:t>
      </w:r>
    </w:p>
    <w:p w14:paraId="23756F19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改进闭环：所有改进措施需纳入《服务改进措施表》跟踪，并在后续交付活动中验证其有效性。</w:t>
      </w:r>
    </w:p>
    <w:p w14:paraId="6B1B6198">
      <w:pPr>
        <w:pStyle w:val="28"/>
        <w:bidi w:val="0"/>
        <w:rPr>
          <w:rFonts w:hint="default"/>
          <w:lang w:val="en-US" w:eastAsia="zh-CN"/>
        </w:rPr>
      </w:pPr>
      <w:bookmarkStart w:id="22" w:name="_Toc32688"/>
      <w:r>
        <w:rPr>
          <w:rFonts w:hint="default"/>
          <w:lang w:val="en-US" w:eastAsia="zh-CN"/>
        </w:rPr>
        <w:t>交付物管理</w:t>
      </w:r>
      <w:bookmarkEnd w:id="22"/>
    </w:p>
    <w:p w14:paraId="12325BD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交付物（工单记录、服务报告、变更记录、知识条目等）均为公司服务资产，须在公司指定的管理系统中存储、归档，确保其完整性、安全性与可追溯性。归档期限应符合合同、法规及《服务数据管理制度》的要求。</w:t>
      </w:r>
    </w:p>
    <w:p w14:paraId="18344A02">
      <w:pPr>
        <w:pStyle w:val="28"/>
        <w:bidi w:val="0"/>
        <w:rPr>
          <w:rFonts w:hint="default"/>
          <w:lang w:val="en-US" w:eastAsia="zh-CN"/>
        </w:rPr>
      </w:pPr>
      <w:bookmarkStart w:id="23" w:name="_Toc23680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1188"/>
        <w:gridCol w:w="4679"/>
        <w:gridCol w:w="926"/>
      </w:tblGrid>
      <w:tr w14:paraId="49B01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8B11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408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E3AC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FF1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3D54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A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项目及时交付率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32BBC">
            <w:pPr>
              <w:keepNext w:val="0"/>
              <w:keepLines w:val="0"/>
              <w:widowControl/>
              <w:suppressLineNumbers w:val="0"/>
              <w:tabs>
                <w:tab w:val="center" w:pos="486"/>
                <w:tab w:val="right" w:pos="1092"/>
              </w:tabs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00%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3C8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按时交付的项目数/运维项目总数*100%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57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119FDBDD">
      <w:pPr>
        <w:pStyle w:val="28"/>
        <w:bidi w:val="0"/>
        <w:rPr>
          <w:rFonts w:hint="default"/>
          <w:lang w:val="en-US" w:eastAsia="zh-CN"/>
        </w:rPr>
      </w:pPr>
      <w:bookmarkStart w:id="24" w:name="_Toc3884"/>
      <w:r>
        <w:rPr>
          <w:rFonts w:hint="default"/>
          <w:lang w:val="en-US" w:eastAsia="zh-CN"/>
        </w:rPr>
        <w:t>附则</w:t>
      </w:r>
      <w:bookmarkEnd w:id="24"/>
    </w:p>
    <w:p w14:paraId="24F61AE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本制度自发布之日起执行，由运维部负责解释与修订。</w:t>
      </w:r>
    </w:p>
    <w:p w14:paraId="4173125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本制度与公司《服务台管理制度》、《运维服务工具管理制度》、《服务知识管理制度》、《最终软件库管理制度》及《服务数据管理制度》共同构成完整的管理体系。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3EF0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D6CAD"/>
    <w:multiLevelType w:val="singleLevel"/>
    <w:tmpl w:val="84AD6C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543E92A"/>
    <w:multiLevelType w:val="singleLevel"/>
    <w:tmpl w:val="8543E9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A13BAF"/>
    <w:multiLevelType w:val="singleLevel"/>
    <w:tmpl w:val="97A13BA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982BA49F"/>
    <w:multiLevelType w:val="singleLevel"/>
    <w:tmpl w:val="982BA4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ACC2960"/>
    <w:multiLevelType w:val="singleLevel"/>
    <w:tmpl w:val="CACC296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543818FF"/>
    <w:multiLevelType w:val="singleLevel"/>
    <w:tmpl w:val="543818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2005AC"/>
    <w:rsid w:val="257F6CB2"/>
    <w:rsid w:val="2D520A3D"/>
    <w:rsid w:val="43585E2B"/>
    <w:rsid w:val="43BD0C0D"/>
    <w:rsid w:val="540A590A"/>
    <w:rsid w:val="5B4A1E8B"/>
    <w:rsid w:val="7761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2521</Words>
  <Characters>2647</Characters>
  <Lines>0</Lines>
  <Paragraphs>0</Paragraphs>
  <TotalTime>0</TotalTime>
  <ScaleCrop>false</ScaleCrop>
  <LinksUpToDate>false</LinksUpToDate>
  <CharactersWithSpaces>2751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