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1ED26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247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56FB9E83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0952"/>
      <w:r>
        <w:rPr>
          <w:rFonts w:hint="eastAsia"/>
          <w:lang w:val="en-US" w:eastAsia="zh-CN"/>
        </w:rPr>
        <w:t>服务报告管理制度</w:t>
      </w:r>
      <w:bookmarkEnd w:id="1"/>
    </w:p>
    <w:p w14:paraId="19987EE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3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131DDA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4D47FF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23D999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DDF89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35791F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417EFBE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2D2A96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6373A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16FFA0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034C9B2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AB029D6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1A3C03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4B1BFC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68B999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31D045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3CB04D3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4739D2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612CBC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625BD0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  <w:shd w:val="clear" w:color="auto" w:fill="auto"/>
          </w:tcPr>
          <w:p w14:paraId="21C26DC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2022.6.20</w:t>
            </w:r>
          </w:p>
        </w:tc>
        <w:tc>
          <w:tcPr>
            <w:tcW w:w="972" w:type="dxa"/>
            <w:shd w:val="clear" w:color="auto" w:fill="auto"/>
          </w:tcPr>
          <w:p w14:paraId="146DB0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  <w:shd w:val="clear" w:color="auto" w:fill="auto"/>
          </w:tcPr>
          <w:p w14:paraId="66439AA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  <w:shd w:val="clear" w:color="auto" w:fill="auto"/>
          </w:tcPr>
          <w:p w14:paraId="1C72E4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27F938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1FC8678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3D862B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  <w:shd w:val="clear" w:color="auto" w:fill="auto"/>
          </w:tcPr>
          <w:p w14:paraId="50AFC0F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  <w:shd w:val="clear" w:color="auto" w:fill="auto"/>
          </w:tcPr>
          <w:p w14:paraId="62D847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  <w:shd w:val="clear" w:color="auto" w:fill="auto"/>
          </w:tcPr>
          <w:p w14:paraId="7CC4F9D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Arial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  <w:t>修订考核指标</w:t>
            </w:r>
            <w:bookmarkStart w:id="17" w:name="_GoBack"/>
            <w:bookmarkEnd w:id="17"/>
          </w:p>
        </w:tc>
        <w:tc>
          <w:tcPr>
            <w:tcW w:w="1829" w:type="dxa"/>
            <w:shd w:val="clear" w:color="auto" w:fill="auto"/>
          </w:tcPr>
          <w:p w14:paraId="0C9CF2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cs="宋体"/>
                <w:spacing w:val="200"/>
                <w:kern w:val="0"/>
                <w:sz w:val="20"/>
                <w:szCs w:val="20"/>
                <w:lang w:val="en-US" w:eastAsia="zh-CN"/>
              </w:rPr>
              <w:t>程方</w:t>
            </w:r>
          </w:p>
        </w:tc>
        <w:tc>
          <w:tcPr>
            <w:tcW w:w="1606" w:type="dxa"/>
            <w:shd w:val="clear" w:color="auto" w:fill="auto"/>
          </w:tcPr>
          <w:p w14:paraId="64673A3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  <w:shd w:val="clear" w:color="auto" w:fill="auto"/>
          </w:tcPr>
          <w:p w14:paraId="279F44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Arial" w:hAnsi="Arial" w:eastAsia="宋体" w:cs="Arial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368C447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702E1A9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B24E68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6CCB5BC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67FBA7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25DA216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27AE2C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279DA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4E1B3C2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18CE594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C3200F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3D6A5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1FA55AC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59762F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D2294C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0A7CA90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39DF1D4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_Toc12470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66ECFB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_Toc20952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服务报告管理制度</w:t>
          </w:r>
          <w:r>
            <w:tab/>
          </w:r>
          <w:r>
            <w:fldChar w:fldCharType="begin"/>
          </w:r>
          <w:r>
            <w:instrText xml:space="preserve"> PAGEREF _Toc20952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0C86848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_Toc17874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总则</w:t>
          </w:r>
          <w:r>
            <w:tab/>
          </w:r>
          <w:r>
            <w:fldChar w:fldCharType="begin"/>
          </w:r>
          <w:r>
            <w:instrText xml:space="preserve"> PAGEREF _Toc17874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5DF31D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_Toc11508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目的</w:t>
          </w:r>
          <w:r>
            <w:tab/>
          </w:r>
          <w:r>
            <w:fldChar w:fldCharType="begin"/>
          </w:r>
          <w:r>
            <w:instrText xml:space="preserve"> PAGEREF _Toc11508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C7F72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_Toc4818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适用范围</w:t>
          </w:r>
          <w:r>
            <w:tab/>
          </w:r>
          <w:r>
            <w:fldChar w:fldCharType="begin"/>
          </w:r>
          <w:r>
            <w:instrText xml:space="preserve"> PAGEREF _Toc4818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7E9C7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_Toc8729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职责分工</w:t>
          </w:r>
          <w:r>
            <w:tab/>
          </w:r>
          <w:r>
            <w:fldChar w:fldCharType="begin"/>
          </w:r>
          <w:r>
            <w:instrText xml:space="preserve"> PAGEREF _Toc8729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4136F0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_Toc14735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报告编制人</w:t>
          </w:r>
          <w:r>
            <w:tab/>
          </w:r>
          <w:r>
            <w:fldChar w:fldCharType="begin"/>
          </w:r>
          <w:r>
            <w:instrText xml:space="preserve"> PAGEREF _Toc14735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B00656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_Toc19320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报告审核人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131CDE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_Toc21580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2.3. 报告归档与管理方</w:t>
          </w:r>
          <w:r>
            <w:tab/>
          </w:r>
          <w:r>
            <w:fldChar w:fldCharType="begin"/>
          </w:r>
          <w:r>
            <w:instrText xml:space="preserve"> PAGEREF _Toc21580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219C81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报告分类与提交计划</w:t>
          </w:r>
          <w:r>
            <w:tab/>
          </w:r>
          <w:r>
            <w:fldChar w:fldCharType="begin"/>
          </w:r>
          <w:r>
            <w:instrText xml:space="preserve"> PAGEREF _Toc26582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52F2A1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_Toc9756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报告管理策略</w:t>
          </w:r>
          <w:r>
            <w:tab/>
          </w:r>
          <w:r>
            <w:fldChar w:fldCharType="begin"/>
          </w:r>
          <w:r>
            <w:instrText xml:space="preserve"> PAGEREF _Toc9756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51D7D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_Toc14285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报告核心内容要求</w:t>
          </w:r>
          <w:r>
            <w:tab/>
          </w:r>
          <w:r>
            <w:fldChar w:fldCharType="begin"/>
          </w:r>
          <w:r>
            <w:instrText xml:space="preserve"> PAGEREF _Toc14285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0E2A31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_Toc14238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5.1. </w:t>
          </w:r>
          <w:r>
            <w:rPr>
              <w:rFonts w:hint="eastAsia"/>
              <w:lang w:val="en-US" w:eastAsia="zh-CN"/>
            </w:rPr>
            <w:t>外部服务报告</w:t>
          </w:r>
          <w:r>
            <w:tab/>
          </w:r>
          <w:r>
            <w:fldChar w:fldCharType="begin"/>
          </w:r>
          <w:r>
            <w:instrText xml:space="preserve"> PAGEREF _Toc14238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3FE654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_Toc2606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5.2. </w:t>
          </w:r>
          <w:r>
            <w:rPr>
              <w:rFonts w:hint="eastAsia"/>
              <w:lang w:val="en-US" w:eastAsia="zh-CN"/>
            </w:rPr>
            <w:t>内部服务报告</w:t>
          </w:r>
          <w:r>
            <w:tab/>
          </w:r>
          <w:r>
            <w:fldChar w:fldCharType="begin"/>
          </w:r>
          <w:r>
            <w:instrText xml:space="preserve"> PAGEREF _Toc2606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C720E8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报告管理流程</w:t>
          </w:r>
          <w:r>
            <w:tab/>
          </w:r>
          <w:r>
            <w:fldChar w:fldCharType="begin"/>
          </w:r>
          <w:r>
            <w:instrText xml:space="preserve"> PAGEREF _Toc2661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BDBF6F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_Toc6202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_Toc6202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4220EE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_Toc8386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附则</w:t>
          </w:r>
          <w:r>
            <w:tab/>
          </w:r>
          <w:r>
            <w:fldChar w:fldCharType="begin"/>
          </w:r>
          <w:r>
            <w:instrText xml:space="preserve"> PAGEREF _Toc8386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C3FE2C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2AC545F0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4EDD7EB3">
      <w:pPr>
        <w:pStyle w:val="28"/>
        <w:bidi w:val="0"/>
        <w:rPr>
          <w:rFonts w:hint="default"/>
          <w:lang w:val="en-US" w:eastAsia="zh-CN"/>
        </w:rPr>
      </w:pPr>
      <w:bookmarkStart w:id="2" w:name="_Toc17874"/>
      <w:r>
        <w:rPr>
          <w:rFonts w:hint="default"/>
          <w:lang w:val="en-US" w:eastAsia="zh-CN"/>
        </w:rPr>
        <w:t>总则</w:t>
      </w:r>
      <w:bookmarkEnd w:id="2"/>
    </w:p>
    <w:p w14:paraId="74C4A260">
      <w:pPr>
        <w:pStyle w:val="30"/>
        <w:bidi w:val="0"/>
        <w:rPr>
          <w:rFonts w:hint="default"/>
          <w:lang w:val="en-US" w:eastAsia="zh-CN"/>
        </w:rPr>
      </w:pPr>
      <w:bookmarkStart w:id="3" w:name="_Toc11508"/>
      <w:r>
        <w:rPr>
          <w:rFonts w:hint="default"/>
          <w:lang w:val="en-US" w:eastAsia="zh-CN"/>
        </w:rPr>
        <w:t>目的</w:t>
      </w:r>
      <w:bookmarkEnd w:id="3"/>
    </w:p>
    <w:p w14:paraId="62FB163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过程中各类报告与总结的生成、审核、发布与归档管理，确保服务过程透明、绩效可衡量、信息可追溯，并通过对服务数据的系统分析，为服务质量持续改进、管理决策及客户沟通提供可靠依据，特制定本制度。</w:t>
      </w:r>
    </w:p>
    <w:p w14:paraId="5C86B304">
      <w:pPr>
        <w:pStyle w:val="30"/>
        <w:bidi w:val="0"/>
        <w:rPr>
          <w:rFonts w:hint="default"/>
          <w:lang w:val="en-US" w:eastAsia="zh-CN"/>
        </w:rPr>
      </w:pPr>
      <w:bookmarkStart w:id="4" w:name="_Toc4818"/>
      <w:r>
        <w:rPr>
          <w:rFonts w:hint="default"/>
          <w:lang w:val="en-US" w:eastAsia="zh-CN"/>
        </w:rPr>
        <w:t>适用范围</w:t>
      </w:r>
      <w:bookmarkEnd w:id="4"/>
    </w:p>
    <w:p w14:paraId="0CC6857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本制度适用于公司为提供</w:t>
      </w:r>
      <w:r>
        <w:rPr>
          <w:rFonts w:hint="eastAsia"/>
          <w:lang w:val="en-US" w:eastAsia="zh-CN"/>
        </w:rPr>
        <w:t>运维服务</w:t>
      </w:r>
      <w:r>
        <w:rPr>
          <w:rFonts w:hint="default"/>
          <w:lang w:val="en-US" w:eastAsia="zh-CN"/>
        </w:rPr>
        <w:t>而产生的所有服务报告与服务总结，包括但不限于向客户提交的外部报告及用于内部管理的总结报告。</w:t>
      </w:r>
    </w:p>
    <w:p w14:paraId="4DD02B11">
      <w:pPr>
        <w:pStyle w:val="28"/>
        <w:bidi w:val="0"/>
        <w:rPr>
          <w:rFonts w:hint="default"/>
          <w:lang w:val="en-US" w:eastAsia="zh-CN"/>
        </w:rPr>
      </w:pPr>
      <w:bookmarkStart w:id="5" w:name="_Toc8729"/>
      <w:r>
        <w:rPr>
          <w:rFonts w:hint="default"/>
          <w:lang w:val="en-US" w:eastAsia="zh-CN"/>
        </w:rPr>
        <w:t>职责分工</w:t>
      </w:r>
      <w:bookmarkEnd w:id="5"/>
    </w:p>
    <w:p w14:paraId="613A96D2">
      <w:pPr>
        <w:pStyle w:val="30"/>
        <w:bidi w:val="0"/>
        <w:rPr>
          <w:rFonts w:hint="default"/>
          <w:lang w:val="en-US" w:eastAsia="zh-CN"/>
        </w:rPr>
      </w:pPr>
      <w:bookmarkStart w:id="6" w:name="_Toc14735"/>
      <w:r>
        <w:rPr>
          <w:rFonts w:hint="default"/>
          <w:lang w:val="en-US" w:eastAsia="zh-CN"/>
        </w:rPr>
        <w:t>报告编制人</w:t>
      </w:r>
      <w:bookmarkEnd w:id="6"/>
    </w:p>
    <w:p w14:paraId="47AF00A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责任人：各项目运维项目经理。</w:t>
      </w:r>
    </w:p>
    <w:p w14:paraId="4CF3226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职责：负责依据本制度及合同约定，按时、保质编制《服务报告》与《服务总结》；确保报告数据真实、准确、完整；对报告内容的客观性负责。</w:t>
      </w:r>
    </w:p>
    <w:p w14:paraId="04F52AD6">
      <w:pPr>
        <w:pStyle w:val="30"/>
        <w:bidi w:val="0"/>
        <w:rPr>
          <w:rFonts w:hint="default"/>
          <w:lang w:val="en-US" w:eastAsia="zh-CN"/>
        </w:rPr>
      </w:pPr>
      <w:bookmarkStart w:id="7" w:name="_Toc19320"/>
      <w:r>
        <w:rPr>
          <w:rFonts w:hint="default"/>
          <w:lang w:val="en-US" w:eastAsia="zh-CN"/>
        </w:rPr>
        <w:t>报告审核人</w:t>
      </w:r>
      <w:bookmarkEnd w:id="7"/>
    </w:p>
    <w:p w14:paraId="18FE807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责任人：运维部经理。</w:t>
      </w:r>
    </w:p>
    <w:p w14:paraId="4F1A72B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职责：负责审核报告内容的规范性、准确性与合规性；审批报告中涉及的改进措施及资源需求；对报告中出现的重大异常情况予以关注并决策。</w:t>
      </w:r>
    </w:p>
    <w:p w14:paraId="0F2EBEE6">
      <w:pPr>
        <w:pStyle w:val="30"/>
        <w:bidi w:val="0"/>
        <w:rPr>
          <w:rFonts w:hint="default"/>
          <w:lang w:val="en-US" w:eastAsia="zh-CN"/>
        </w:rPr>
      </w:pPr>
      <w:bookmarkStart w:id="8" w:name="_Toc21580"/>
      <w:r>
        <w:rPr>
          <w:rFonts w:hint="default"/>
          <w:lang w:val="en-US" w:eastAsia="zh-CN"/>
        </w:rPr>
        <w:t>报告归档与管理方</w:t>
      </w:r>
      <w:bookmarkEnd w:id="8"/>
    </w:p>
    <w:p w14:paraId="58319F9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责任人：运维部（协同质量管理部）。</w:t>
      </w:r>
    </w:p>
    <w:p w14:paraId="2F8D22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职责：负责制定和维护报告模板；监督报告按时提交；统一归档所有正式报告；定期对报告质量进行抽查；分析报告趋势，为部门及公司级改进提供输入。</w:t>
      </w:r>
    </w:p>
    <w:p w14:paraId="113E5B00">
      <w:pPr>
        <w:pStyle w:val="28"/>
        <w:bidi w:val="0"/>
        <w:rPr>
          <w:rFonts w:hint="default"/>
          <w:lang w:val="en-US" w:eastAsia="zh-CN"/>
        </w:rPr>
      </w:pPr>
      <w:bookmarkStart w:id="9" w:name="_Toc26582"/>
      <w:r>
        <w:rPr>
          <w:rFonts w:hint="default"/>
          <w:lang w:val="en-US" w:eastAsia="zh-CN"/>
        </w:rPr>
        <w:t>报告分类与提交计划</w:t>
      </w:r>
      <w:bookmarkEnd w:id="9"/>
    </w:p>
    <w:p w14:paraId="25DA96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服务报告根据汇报对象与用途，主要分为两类：</w:t>
      </w:r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23"/>
        <w:gridCol w:w="810"/>
        <w:gridCol w:w="3258"/>
        <w:gridCol w:w="1864"/>
        <w:gridCol w:w="1943"/>
      </w:tblGrid>
      <w:tr w14:paraId="23FEC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</w:tblPrEx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0B21609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报告类型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22E8FE7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主要对象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D2A6360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核心目的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D4E8976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提交频率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57D4855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分发范围</w:t>
            </w:r>
          </w:p>
        </w:tc>
      </w:tr>
      <w:tr w14:paraId="1892DE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841C88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服务报告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5EA455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57D3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向客户透明化展示服务绩效、工作量、SLA达成情况及改进计划，提升客户满意度与信任度。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83506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月度/按SLA约定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49A369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客户接口人、公司运维部、质量管理部备案</w:t>
            </w:r>
          </w:p>
        </w:tc>
      </w:tr>
      <w:tr w14:paraId="593284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1B6C0EB">
            <w:pPr>
              <w:keepNext w:val="0"/>
              <w:keepLines w:val="0"/>
              <w:widowControl/>
              <w:suppressLineNumbers w:val="0"/>
              <w:spacing w:line="300" w:lineRule="atLeast"/>
              <w:ind w:left="0" w:leftChars="0" w:right="0" w:rightChars="0" w:firstLine="0" w:firstLineChars="0"/>
              <w:jc w:val="center"/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Style w:val="23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服务总结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AD406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内部管理</w:t>
            </w:r>
          </w:p>
        </w:tc>
        <w:tc>
          <w:tcPr>
            <w:tcW w:w="3258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85044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项目内部复盘，分析服务指标、资源效率、流程合规性，为内部考核、能力提升及资源规划提供依据。</w:t>
            </w:r>
          </w:p>
        </w:tc>
        <w:tc>
          <w:tcPr>
            <w:tcW w:w="186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1983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月度/年度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8BDB6E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运维部、质量管理部、相关项目组成员</w:t>
            </w:r>
          </w:p>
        </w:tc>
      </w:tr>
    </w:tbl>
    <w:p w14:paraId="76CE695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注：具体提交周期、方式及详细范围应在《服务级别协议》或项目计划中明确。</w:t>
      </w:r>
    </w:p>
    <w:p w14:paraId="4302398D">
      <w:pPr>
        <w:pStyle w:val="28"/>
        <w:bidi w:val="0"/>
        <w:rPr>
          <w:rFonts w:hint="default"/>
          <w:lang w:val="en-US" w:eastAsia="zh-CN"/>
        </w:rPr>
      </w:pPr>
      <w:bookmarkStart w:id="10" w:name="_Toc9756"/>
      <w:r>
        <w:rPr>
          <w:rFonts w:hint="default"/>
          <w:lang w:val="en-US" w:eastAsia="zh-CN"/>
        </w:rPr>
        <w:t>报告管理策略</w:t>
      </w:r>
      <w:bookmarkEnd w:id="10"/>
    </w:p>
    <w:p w14:paraId="2AE0401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服务报告的管理应遵循以下策略：</w:t>
      </w:r>
    </w:p>
    <w:p w14:paraId="3FB4C3DF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需求导向：报告内容与格式需预先与客户及内部管理层沟通确认，满足其决策与监督需求。</w:t>
      </w:r>
    </w:p>
    <w:p w14:paraId="6A8CF7A3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数据驱动：报告中的关键绩效指标（KPI）必须可测量、可验证，并提供历史趋势对比分析。</w:t>
      </w:r>
    </w:p>
    <w:p w14:paraId="563F071D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质量保证：确保报告的及时性、准确性、可靠性与一致性。报告应经过审核流程后方可发布。</w:t>
      </w:r>
    </w:p>
    <w:p w14:paraId="77BC544E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呈现清晰：采用图表等直观形式呈现数据，语言应简洁、专业、避免歧义，便于不同背景的读者理解。</w:t>
      </w:r>
    </w:p>
    <w:p w14:paraId="7E3B21E6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持续改进：报告不仅反映现状，更应分析根因，提出切实可行的改进建议或行动计划。</w:t>
      </w:r>
    </w:p>
    <w:p w14:paraId="0D9CBE06">
      <w:pPr>
        <w:pStyle w:val="28"/>
        <w:bidi w:val="0"/>
        <w:rPr>
          <w:rFonts w:hint="default"/>
          <w:lang w:val="en-US" w:eastAsia="zh-CN"/>
        </w:rPr>
      </w:pPr>
      <w:bookmarkStart w:id="11" w:name="_Toc14285"/>
      <w:r>
        <w:rPr>
          <w:rFonts w:hint="default"/>
          <w:lang w:val="en-US" w:eastAsia="zh-CN"/>
        </w:rPr>
        <w:t>报告核心内容要求</w:t>
      </w:r>
      <w:bookmarkEnd w:id="11"/>
    </w:p>
    <w:p w14:paraId="3F82571B">
      <w:pPr>
        <w:pStyle w:val="30"/>
        <w:bidi w:val="0"/>
        <w:rPr>
          <w:rFonts w:hint="default"/>
          <w:lang w:val="en-US" w:eastAsia="zh-CN"/>
        </w:rPr>
      </w:pPr>
      <w:bookmarkStart w:id="12" w:name="_Toc14238"/>
      <w:r>
        <w:rPr>
          <w:rFonts w:hint="eastAsia"/>
          <w:lang w:val="en-US" w:eastAsia="zh-CN"/>
        </w:rPr>
        <w:t>外部服务报告</w:t>
      </w:r>
      <w:bookmarkEnd w:id="12"/>
    </w:p>
    <w:p w14:paraId="2F064E2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执行摘要：本期核心绩效、重大成就与关键问题的概述。</w:t>
      </w:r>
    </w:p>
    <w:p w14:paraId="22B9C5B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服务级别达成分析：对照SLA，逐项说明各项指标（如可用性、响应时间、解决时间等）的达成情况，对未达标项进行根本原因分析。</w:t>
      </w:r>
    </w:p>
    <w:p w14:paraId="2940B6E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服务工作量综述：处理的事件、服务请求、变更的数量统计与分类分析。</w:t>
      </w:r>
    </w:p>
    <w:p w14:paraId="38C06F9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重大事件回顾：重大故障或变更的实施过程、影响、解决措施及经验教训。</w:t>
      </w:r>
    </w:p>
    <w:p w14:paraId="07E1615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客户满意度反馈：本期收集到的客户反馈摘要及处理情况。</w:t>
      </w:r>
    </w:p>
    <w:p w14:paraId="4C3675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改进计划与建议：针对本期问题的改进措施，以及为提升服务价值提出的优化建议。</w:t>
      </w:r>
    </w:p>
    <w:p w14:paraId="0DBB26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下阶段工作计划：下一报告周期内的主要工作计划与承诺。</w:t>
      </w:r>
    </w:p>
    <w:p w14:paraId="5446CD1A">
      <w:pPr>
        <w:pStyle w:val="30"/>
        <w:bidi w:val="0"/>
        <w:rPr>
          <w:rFonts w:hint="eastAsia"/>
          <w:lang w:val="en-US" w:eastAsia="zh-CN"/>
        </w:rPr>
      </w:pPr>
      <w:bookmarkStart w:id="13" w:name="_Toc2606"/>
      <w:r>
        <w:rPr>
          <w:rFonts w:hint="eastAsia"/>
          <w:lang w:val="en-US" w:eastAsia="zh-CN"/>
        </w:rPr>
        <w:t>内部服务报告</w:t>
      </w:r>
      <w:bookmarkEnd w:id="13"/>
    </w:p>
    <w:p w14:paraId="3B54C3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项目绩效深度分析：SLA达成趋势、资源（人力/工具）利用率、成本效率分析。</w:t>
      </w:r>
    </w:p>
    <w:p w14:paraId="52BBBCC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流程合规性检查：总结事件、问题、变更、配置等流程的执行是否符合公司质量体系与ITSS标准。</w:t>
      </w:r>
    </w:p>
    <w:p w14:paraId="713046F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团队能力与知识管理：技能培训效果、知识库贡献、典型案例积累情况。</w:t>
      </w:r>
    </w:p>
    <w:p w14:paraId="5B49035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风险与问题汇总：识别出的运营风险、重复发生的问题及长期改进项。</w:t>
      </w:r>
    </w:p>
    <w:p w14:paraId="361CA24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内部改进计划：针对内部流程、工具、技能的优化措施与行动计划。</w:t>
      </w:r>
    </w:p>
    <w:p w14:paraId="122313B1">
      <w:pPr>
        <w:pStyle w:val="28"/>
        <w:bidi w:val="0"/>
        <w:rPr>
          <w:rFonts w:hint="default"/>
          <w:lang w:val="en-US" w:eastAsia="zh-CN"/>
        </w:rPr>
      </w:pPr>
      <w:bookmarkStart w:id="14" w:name="_Toc2661"/>
      <w:r>
        <w:rPr>
          <w:rFonts w:hint="default"/>
          <w:lang w:val="en-US" w:eastAsia="zh-CN"/>
        </w:rPr>
        <w:t>报告管理流程</w:t>
      </w:r>
      <w:bookmarkEnd w:id="14"/>
    </w:p>
    <w:p w14:paraId="5374309C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计划与准备：运维部根据SLA要求，制定年度/季度报告计划。运维项目经理负责日常数据收集与记录。</w:t>
      </w:r>
    </w:p>
    <w:p w14:paraId="67B166C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编制：报告周期结束后，运维项目经理依据模板在规定时间内完成报告编制。</w:t>
      </w:r>
    </w:p>
    <w:p w14:paraId="2129AEA0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审核：编制完成的报告提交至运维部经理审核。审核重点包括数据准确性、结论客观性、改进措施可行性等。涉及重大事项需报更高层级审批。</w:t>
      </w:r>
    </w:p>
    <w:p w14:paraId="16647BC7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发布与提交：审核通过后的《服务报告》按约定方式提交给客户；《服务总结》提交至相关部门及管理层。</w:t>
      </w:r>
    </w:p>
    <w:p w14:paraId="37483B6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归档：运维部负责将最终版报告进行统一归档，确保版本受控、便于查阅。</w:t>
      </w:r>
    </w:p>
    <w:p w14:paraId="0E7E9D91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回顾与利用：质量管理部及运维部管理层定期回顾报告内容，将其作为管理评审、流程优化和年度规划的重要输入。</w:t>
      </w:r>
    </w:p>
    <w:p w14:paraId="65C8F855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6202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27"/>
        <w:gridCol w:w="1092"/>
        <w:gridCol w:w="3300"/>
        <w:gridCol w:w="1056"/>
      </w:tblGrid>
      <w:tr w14:paraId="153AE7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1004ADFA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4E17508D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591FE25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7B5516A8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486FA3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2227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610415E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服务报告交付及时率</w:t>
            </w:r>
          </w:p>
        </w:tc>
        <w:tc>
          <w:tcPr>
            <w:tcW w:w="109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466605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330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37DE33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（服务报告按时提交的数量/服务报告总数量）*100%</w:t>
            </w:r>
          </w:p>
        </w:tc>
        <w:tc>
          <w:tcPr>
            <w:tcW w:w="1056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71380C8A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</w:tr>
    </w:tbl>
    <w:p w14:paraId="6DE61FE0">
      <w:pPr>
        <w:pStyle w:val="28"/>
        <w:bidi w:val="0"/>
        <w:rPr>
          <w:rFonts w:hint="default"/>
          <w:lang w:val="en-US" w:eastAsia="zh-CN"/>
        </w:rPr>
      </w:pPr>
      <w:bookmarkStart w:id="16" w:name="_Toc8386"/>
      <w:r>
        <w:rPr>
          <w:rFonts w:hint="default"/>
          <w:lang w:val="en-US" w:eastAsia="zh-CN"/>
        </w:rPr>
        <w:t>附则</w:t>
      </w:r>
      <w:bookmarkEnd w:id="16"/>
    </w:p>
    <w:p w14:paraId="2C3FAA0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本制度由运维部负责解释与修订。</w:t>
      </w:r>
    </w:p>
    <w:p w14:paraId="7870DF6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本制度自发布之日起生效。原相关管理规定与本制度不一致的，以本制度为准。</w:t>
      </w:r>
    </w:p>
    <w:p w14:paraId="63A96FC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本制度涉及的《服务报告模板》、《服务总结模板》等，由运维部负责制定与更新。</w:t>
      </w:r>
    </w:p>
    <w:p w14:paraId="48CCC5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0FFDBB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9A19CC06"/>
    <w:multiLevelType w:val="singleLevel"/>
    <w:tmpl w:val="9A19CC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A10A99EF"/>
    <w:multiLevelType w:val="singleLevel"/>
    <w:tmpl w:val="A10A99E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29D034BF"/>
    <w:rsid w:val="34427A89"/>
    <w:rsid w:val="60144D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1973</Words>
  <Characters>2090</Characters>
  <Lines>0</Lines>
  <Paragraphs>0</Paragraphs>
  <TotalTime>0</TotalTime>
  <ScaleCrop>false</ScaleCrop>
  <LinksUpToDate>false</LinksUpToDate>
  <CharactersWithSpaces>2156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2026-04-25T15:40:40Z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