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6FC11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07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37622F1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2235"/>
      <w:r>
        <w:rPr>
          <w:rFonts w:hint="eastAsia"/>
          <w:lang w:val="en-US" w:eastAsia="zh-CN"/>
        </w:rPr>
        <w:t>信息安全管理制度</w:t>
      </w:r>
      <w:bookmarkEnd w:id="1"/>
    </w:p>
    <w:p w14:paraId="068545E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92D2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4809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15DB6E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BF5D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FD0F8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06DB0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F4C7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F1948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747C6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EE5261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E1F424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4614B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71B0E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8A146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3E4867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099338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AE832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FC40D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ED0A1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6DEF3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 w14:paraId="18407B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15EAAA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F4219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pacing w:val="200"/>
                <w:kern w:val="0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267E72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11ECCC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7D5EB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23254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0BCF0D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31F79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完善安全培训管理</w:t>
            </w:r>
            <w:bookmarkStart w:id="26" w:name="_GoBack"/>
            <w:bookmarkEnd w:id="26"/>
          </w:p>
        </w:tc>
        <w:tc>
          <w:tcPr>
            <w:tcW w:w="1829" w:type="dxa"/>
          </w:tcPr>
          <w:p w14:paraId="14EB3F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36C4A2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0BAD1E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08D02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AB5CBD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66038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8661F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35789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ADCE4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264A9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8FFE6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7F4B548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3A883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CEA5A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91533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4CCCC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F8235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70766F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4A92E5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18CF8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_Toc15078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B04C3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信息安全管理制度</w:t>
          </w:r>
          <w:r>
            <w:tab/>
          </w:r>
          <w:r>
            <w:fldChar w:fldCharType="begin"/>
          </w:r>
          <w:r>
            <w:instrText xml:space="preserve"> PAGEREF _Toc32235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2CE25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_Toc4338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07E3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_Toc20427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5AACF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_Toc18144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D96C2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原则与策略框架</w:t>
          </w:r>
          <w:r>
            <w:tab/>
          </w:r>
          <w:r>
            <w:fldChar w:fldCharType="begin"/>
          </w:r>
          <w:r>
            <w:instrText xml:space="preserve"> PAGEREF _Toc13428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F7AC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_Toc27188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2F419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_Toc10414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E436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信息安全管理活动</w:t>
          </w:r>
          <w:r>
            <w:tab/>
          </w:r>
          <w:r>
            <w:fldChar w:fldCharType="begin"/>
          </w:r>
          <w:r>
            <w:instrText xml:space="preserve"> PAGEREF _Toc31876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5745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管理流程概述</w:t>
          </w:r>
          <w:r>
            <w:tab/>
          </w:r>
          <w:r>
            <w:fldChar w:fldCharType="begin"/>
          </w:r>
          <w:r>
            <w:instrText xml:space="preserve"> PAGEREF _Toc2017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1000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资产识别与分类</w:t>
          </w:r>
          <w:r>
            <w:tab/>
          </w:r>
          <w:r>
            <w:fldChar w:fldCharType="begin"/>
          </w:r>
          <w:r>
            <w:instrText xml:space="preserve"> PAGEREF _Toc29468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D0ED4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风险评估与处置</w:t>
          </w:r>
          <w:r>
            <w:tab/>
          </w:r>
          <w:r>
            <w:fldChar w:fldCharType="begin"/>
          </w:r>
          <w:r>
            <w:instrText xml:space="preserve"> PAGEREF _Toc25513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4935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信息安全事件管理</w:t>
          </w:r>
          <w:r>
            <w:tab/>
          </w:r>
          <w:r>
            <w:fldChar w:fldCharType="begin"/>
          </w:r>
          <w:r>
            <w:instrText xml:space="preserve"> PAGEREF _Toc11449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DEF8C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定期评审与改进</w:t>
          </w:r>
          <w:r>
            <w:tab/>
          </w:r>
          <w:r>
            <w:fldChar w:fldCharType="begin"/>
          </w:r>
          <w:r>
            <w:instrText xml:space="preserve"> PAGEREF _Toc11539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E949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信息安全策略体系</w:t>
          </w:r>
          <w:r>
            <w:tab/>
          </w:r>
          <w:r>
            <w:fldChar w:fldCharType="begin"/>
          </w:r>
          <w:r>
            <w:instrText xml:space="preserve"> PAGEREF _Toc22101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BCC3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总方针与核心要求</w:t>
          </w:r>
          <w:r>
            <w:tab/>
          </w:r>
          <w:r>
            <w:fldChar w:fldCharType="begin"/>
          </w:r>
          <w:r>
            <w:instrText xml:space="preserve"> PAGEREF _Toc25807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026D9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人员安全管理</w:t>
          </w:r>
          <w:r>
            <w:tab/>
          </w:r>
          <w:r>
            <w:fldChar w:fldCharType="begin"/>
          </w:r>
          <w:r>
            <w:instrText xml:space="preserve"> PAGEREF _Toc16149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5EEC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第三方安全管理</w:t>
          </w:r>
          <w:r>
            <w:tab/>
          </w:r>
          <w:r>
            <w:fldChar w:fldCharType="begin"/>
          </w:r>
          <w:r>
            <w:instrText xml:space="preserve"> PAGEREF _Toc29139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364B8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信息安全培训管理</w:t>
          </w:r>
          <w:r>
            <w:tab/>
          </w:r>
          <w:r>
            <w:fldChar w:fldCharType="begin"/>
          </w:r>
          <w:r>
            <w:instrText xml:space="preserve"> PAGEREF _Toc23765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6A49E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培训目标与责任</w:t>
          </w:r>
          <w:r>
            <w:tab/>
          </w:r>
          <w:r>
            <w:fldChar w:fldCharType="begin"/>
          </w:r>
          <w:r>
            <w:instrText xml:space="preserve"> PAGEREF _Toc31307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848C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培训内容与对象</w:t>
          </w:r>
          <w:r>
            <w:tab/>
          </w:r>
          <w:r>
            <w:fldChar w:fldCharType="begin"/>
          </w:r>
          <w:r>
            <w:instrText xml:space="preserve"> PAGEREF _Toc3560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1217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培训实施与记录</w:t>
          </w:r>
          <w:r>
            <w:tab/>
          </w:r>
          <w:r>
            <w:fldChar w:fldCharType="begin"/>
          </w:r>
          <w:r>
            <w:instrText xml:space="preserve"> PAGEREF _Toc14532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9DBFC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培训效果评估与更新</w:t>
          </w:r>
          <w:r>
            <w:tab/>
          </w:r>
          <w:r>
            <w:fldChar w:fldCharType="begin"/>
          </w:r>
          <w:r>
            <w:instrText xml:space="preserve"> PAGEREF _Toc18950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BADEA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_Toc22516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B814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_Toc17277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F36A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_Toc29077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91056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ADEF9B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DD8A969">
      <w:pPr>
        <w:pStyle w:val="28"/>
        <w:bidi w:val="0"/>
        <w:rPr>
          <w:rFonts w:hint="eastAsia"/>
          <w:lang w:val="en-US" w:eastAsia="zh-CN"/>
        </w:rPr>
      </w:pPr>
      <w:bookmarkStart w:id="2" w:name="_Toc4338"/>
      <w:r>
        <w:rPr>
          <w:rFonts w:hint="eastAsia"/>
          <w:lang w:val="en-US" w:eastAsia="zh-CN"/>
        </w:rPr>
        <w:t>总则</w:t>
      </w:r>
      <w:bookmarkEnd w:id="2"/>
    </w:p>
    <w:p w14:paraId="2AA3340F">
      <w:pPr>
        <w:pStyle w:val="30"/>
        <w:bidi w:val="0"/>
        <w:rPr>
          <w:rFonts w:hint="eastAsia"/>
          <w:lang w:val="en-US" w:eastAsia="zh-CN"/>
        </w:rPr>
      </w:pPr>
      <w:bookmarkStart w:id="3" w:name="_Toc20427"/>
      <w:r>
        <w:rPr>
          <w:rFonts w:hint="eastAsia"/>
          <w:lang w:val="en-US" w:eastAsia="zh-CN"/>
        </w:rPr>
        <w:t>目的</w:t>
      </w:r>
      <w:bookmarkEnd w:id="3"/>
    </w:p>
    <w:p w14:paraId="26872C8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系统化构建、实施、运行、监控、评审、维护和改进公司信息安全治理体系，规范运维服务全过程中的信息安全管理，确保客户与公司信息的保密性、完整性、可用性及合规性，有效管理风险并应对安全事件，保障业务持续稳定，特制定本制度。</w:t>
      </w:r>
    </w:p>
    <w:p w14:paraId="7395871F">
      <w:pPr>
        <w:pStyle w:val="30"/>
        <w:bidi w:val="0"/>
        <w:rPr>
          <w:rFonts w:hint="eastAsia"/>
          <w:lang w:val="en-US" w:eastAsia="zh-CN"/>
        </w:rPr>
      </w:pPr>
      <w:bookmarkStart w:id="4" w:name="_Toc18144"/>
      <w:r>
        <w:rPr>
          <w:rFonts w:hint="eastAsia"/>
          <w:lang w:val="en-US" w:eastAsia="zh-CN"/>
        </w:rPr>
        <w:t>适用范围</w:t>
      </w:r>
      <w:bookmarkEnd w:id="4"/>
    </w:p>
    <w:p w14:paraId="7078138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本制度适用于公司所有部门及员工，覆盖所有运维服务项目及支撑活动中所涉及的信息资产（包括但不限于客户数据、应用系统、源代码、配置信息、服务知识、管理文档等）的全生命周期安全管理。</w:t>
      </w:r>
    </w:p>
    <w:p w14:paraId="7E289066">
      <w:pPr>
        <w:pStyle w:val="30"/>
        <w:bidi w:val="0"/>
        <w:rPr>
          <w:rFonts w:hint="eastAsia"/>
          <w:lang w:val="en-US" w:eastAsia="zh-CN"/>
        </w:rPr>
      </w:pPr>
      <w:bookmarkStart w:id="5" w:name="_Toc13428"/>
      <w:r>
        <w:rPr>
          <w:rFonts w:hint="eastAsia"/>
          <w:lang w:val="en-US" w:eastAsia="zh-CN"/>
        </w:rPr>
        <w:t>原则与策略框架</w:t>
      </w:r>
      <w:bookmarkEnd w:id="5"/>
    </w:p>
    <w:p w14:paraId="7C7D174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公司信息安全遵循“三分技术，七分管理”的核心思想，建立以下原则与分层策略框架：</w:t>
      </w:r>
    </w:p>
    <w:p w14:paraId="02E0389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战略一致原则：信息安全目标与公司业务战略及客户服务承诺保持一致。</w:t>
      </w:r>
    </w:p>
    <w:p w14:paraId="1FC7F30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预防为主原则：将安全要求融入运维服务各环节，主动识别并控制风险。</w:t>
      </w:r>
    </w:p>
    <w:p w14:paraId="36FB132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责任明确原则：实行“谁主管谁负责，谁运营谁负责，谁使用谁负责”的安全责任制。</w:t>
      </w:r>
    </w:p>
    <w:p w14:paraId="6587FF8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持续改进原则：基于PDCA（计划-执行-检查-处理）循环，实现安全能力的持续提升。</w:t>
      </w:r>
    </w:p>
    <w:p w14:paraId="53BEE97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合规合法原则：严格遵守国家法律法规、行业监管要求及合同中的安全承诺。</w:t>
      </w:r>
    </w:p>
    <w:p w14:paraId="698A3C6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本制度是公司信息安全管理的纲领性文件，其下设的各类具体安全规范、操作指南及技术标准共同构成完整的信息安全策略体系。</w:t>
      </w:r>
    </w:p>
    <w:p w14:paraId="39BF3A36">
      <w:pPr>
        <w:pStyle w:val="28"/>
        <w:bidi w:val="0"/>
        <w:rPr>
          <w:rFonts w:hint="eastAsia"/>
          <w:lang w:val="en-US" w:eastAsia="zh-CN"/>
        </w:rPr>
      </w:pPr>
      <w:bookmarkStart w:id="6" w:name="_Toc27188"/>
      <w:r>
        <w:rPr>
          <w:rFonts w:hint="eastAsia"/>
          <w:lang w:val="en-US" w:eastAsia="zh-CN"/>
        </w:rPr>
        <w:t>定义与术语</w:t>
      </w:r>
      <w:bookmarkEnd w:id="6"/>
    </w:p>
    <w:p w14:paraId="7EE5A84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信息资产：任何对公司或客户具有价值，需要加以保护的硬件、软件、数据、服务或人员能力。</w:t>
      </w:r>
    </w:p>
    <w:p w14:paraId="40F7FA4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信息安全风险：人为或自然的威胁利用信息资产及其管理过程中的脆弱性，导致安全事件发生，并对资产造成损害的可能性及影响。</w:t>
      </w:r>
    </w:p>
    <w:p w14:paraId="25B15C7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信息安全事件：系统、服务或网络状态的一种可识别的、违反信息安全策略或降低服务安全等级的occurrence。</w:t>
      </w:r>
    </w:p>
    <w:p w14:paraId="482675E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脆弱性：可能被威胁利用的资产或控制措施的弱点。</w:t>
      </w:r>
    </w:p>
    <w:p w14:paraId="4BA3BD2C">
      <w:pPr>
        <w:pStyle w:val="28"/>
        <w:bidi w:val="0"/>
        <w:rPr>
          <w:rFonts w:hint="eastAsia"/>
          <w:lang w:val="en-US" w:eastAsia="zh-CN"/>
        </w:rPr>
      </w:pPr>
      <w:bookmarkStart w:id="7" w:name="_Toc10414"/>
      <w:r>
        <w:rPr>
          <w:rFonts w:hint="eastAsia"/>
          <w:lang w:val="en-US" w:eastAsia="zh-CN"/>
        </w:rPr>
        <w:t>角色与职责</w:t>
      </w:r>
      <w:bookmarkEnd w:id="7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4"/>
        <w:gridCol w:w="5176"/>
        <w:gridCol w:w="2184"/>
      </w:tblGrid>
      <w:tr w14:paraId="1ECE1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6A42E0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314D7F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199A76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</w:t>
            </w:r>
          </w:p>
        </w:tc>
      </w:tr>
      <w:tr w14:paraId="65B5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21E6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EE5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制定并维护公司信息安全方针、策略和制度体系。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领导公司级信息安全风险评估与管理决策。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审批重大安全改进计划与资源投入。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主持管理评审，向公司管理层报告安全状况。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A4FF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总经理或指定副总经理</w:t>
            </w:r>
          </w:p>
        </w:tc>
      </w:tr>
      <w:tr w14:paraId="4FE36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20A4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信息安全管理团队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871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负责本制度的日常推行、解释与修订。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组织协调跨部门的安全风险评估、应急演练与审计活动。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监督各项安全控制措施的执行情况。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统筹信息安全事件的调查、分析与报告。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75A6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（牵头）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 w14:paraId="71E66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514D7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1E70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是所负责项目的安全直接责任人。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组织实施项目内信息资产识别、风险评估与控制。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确保项目团队遵守安全规定，落实安全操作。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负责项目内安全事件的初步处置与报告。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AE0C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运维部-运维项目经理</w:t>
            </w:r>
          </w:p>
        </w:tc>
      </w:tr>
      <w:tr w14:paraId="3D06D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E3F1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技术执行人员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2EB0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负责所辖技术资产的具体安全配置、防护与监控。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执行漏洞修复、安全加固等风险处置措施。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及时报告发现的安全漏洞或异常行为。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7E16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研发部-开发/测试工程师</w:t>
            </w:r>
          </w:p>
        </w:tc>
      </w:tr>
      <w:tr w14:paraId="12FF6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9556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1FB93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组织落实全员信息安全意识教育与基础培训。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管理员工背景审查、保密协议签订及离职安全审核。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将安全表现纳入绩效考核参考。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922E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人力资源部经理/专员</w:t>
            </w:r>
          </w:p>
        </w:tc>
      </w:tr>
      <w:tr w14:paraId="21D16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E729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4A65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独立监督本制度及所有安全流程的执行合规性。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组织或参与信息安全内部审计。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将安全指标纳入公司质量目标与监控体系。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24F4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质量管理部经理/专员</w:t>
            </w:r>
          </w:p>
        </w:tc>
      </w:tr>
      <w:tr w14:paraId="7BFEB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2D54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6420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了解并遵守公司信息安全相关规定。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保护自身掌握的账户、密码及信息资产。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有责任报告发现的安全隐患或事件。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00325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公司全体员工</w:t>
            </w:r>
          </w:p>
        </w:tc>
      </w:tr>
    </w:tbl>
    <w:p w14:paraId="7085F496">
      <w:pPr>
        <w:pStyle w:val="29"/>
        <w:rPr>
          <w:rFonts w:hint="eastAsia"/>
          <w:lang w:val="en-US" w:eastAsia="zh-CN"/>
        </w:rPr>
      </w:pPr>
    </w:p>
    <w:p w14:paraId="0E83D7E3">
      <w:pPr>
        <w:pStyle w:val="28"/>
        <w:bidi w:val="0"/>
        <w:rPr>
          <w:rFonts w:hint="eastAsia"/>
          <w:lang w:val="en-US" w:eastAsia="zh-CN"/>
        </w:rPr>
      </w:pPr>
      <w:bookmarkStart w:id="8" w:name="_Toc31876"/>
      <w:r>
        <w:rPr>
          <w:rFonts w:hint="eastAsia"/>
          <w:lang w:val="en-US" w:eastAsia="zh-CN"/>
        </w:rPr>
        <w:t>信息安全管理活动</w:t>
      </w:r>
      <w:bookmarkEnd w:id="8"/>
    </w:p>
    <w:p w14:paraId="7EB4CDBE">
      <w:pPr>
        <w:pStyle w:val="30"/>
        <w:bidi w:val="0"/>
        <w:rPr>
          <w:rFonts w:hint="eastAsia"/>
          <w:lang w:val="en-US" w:eastAsia="zh-CN"/>
        </w:rPr>
      </w:pPr>
      <w:bookmarkStart w:id="9" w:name="_Toc2017"/>
      <w:r>
        <w:rPr>
          <w:rFonts w:hint="eastAsia"/>
          <w:lang w:val="en-US" w:eastAsia="zh-CN"/>
        </w:rPr>
        <w:t>管理流程概述</w:t>
      </w:r>
      <w:bookmarkEnd w:id="9"/>
    </w:p>
    <w:p w14:paraId="1D71B99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信息安全管理的核心是建立一个动态、闭环的管理模型，持续循环以下四个关键活动：资产识别与评估→风险识别与分析→ 风险处置与控制→监控评审与改进。</w:t>
      </w:r>
    </w:p>
    <w:p w14:paraId="7642FED4">
      <w:pPr>
        <w:pStyle w:val="30"/>
        <w:bidi w:val="0"/>
        <w:rPr>
          <w:rFonts w:hint="eastAsia"/>
          <w:lang w:val="en-US" w:eastAsia="zh-CN"/>
        </w:rPr>
      </w:pPr>
      <w:bookmarkStart w:id="10" w:name="_Toc29468"/>
      <w:r>
        <w:rPr>
          <w:rFonts w:hint="eastAsia"/>
          <w:lang w:val="en-US" w:eastAsia="zh-CN"/>
        </w:rPr>
        <w:t>资产识别与分类</w:t>
      </w:r>
      <w:bookmarkEnd w:id="10"/>
    </w:p>
    <w:p w14:paraId="445DA5C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识别：在新项目启动、新系统上线或服务范围重大变更时，由运维项目经理主导，识别服务范围内的所有关键信息资产，形成并维护《信息资产清单》。</w:t>
      </w:r>
    </w:p>
    <w:p w14:paraId="2862835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分类与分级：依据资产对业务的重要性及安全属性（保密性、完整性、可用性）的影响程度，对资产进行分类和分级（如：核心、重要、一般），并据此确定相应的保护级别。</w:t>
      </w:r>
    </w:p>
    <w:p w14:paraId="291068D6">
      <w:pPr>
        <w:pStyle w:val="30"/>
        <w:bidi w:val="0"/>
        <w:rPr>
          <w:rFonts w:hint="eastAsia"/>
          <w:lang w:val="en-US" w:eastAsia="zh-CN"/>
        </w:rPr>
      </w:pPr>
      <w:bookmarkStart w:id="11" w:name="_Toc25513"/>
      <w:r>
        <w:rPr>
          <w:rFonts w:hint="eastAsia"/>
          <w:lang w:val="en-US" w:eastAsia="zh-CN"/>
        </w:rPr>
        <w:t>风险评估与处置</w:t>
      </w:r>
      <w:bookmarkEnd w:id="11"/>
    </w:p>
    <w:p w14:paraId="03D9290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风险评估周期：至少每年进行一次全面的信息安全风险评估。在发生重大变更、安全事件或法律法规更新时，应启动专项评估。</w:t>
      </w:r>
    </w:p>
    <w:p w14:paraId="2BC7295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评估方法：采用定性与定量相结合的方法，评估威胁利用脆弱性对资产造成损害的可能性及影响，计算风险值并确定风险等级（高、中、低）。</w:t>
      </w:r>
    </w:p>
    <w:p w14:paraId="58BD3C1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风险处置：</w:t>
      </w:r>
    </w:p>
    <w:p w14:paraId="5E76BB1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降低风险：对于不可接受的风险，制定并实施技术或管理控制措施（如部署防护设备、修改流程）。</w:t>
      </w:r>
    </w:p>
    <w:p w14:paraId="649218D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规避风险：通过取消可能导致风险的活动来避免风险。</w:t>
      </w:r>
    </w:p>
    <w:p w14:paraId="2EBADEF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转移风险：通过购买保险、签署服务协议等方式将风险转移给第三方。</w:t>
      </w:r>
    </w:p>
    <w:p w14:paraId="0BBCF90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接受风险：经信息安全负责人批准，对在成本效益分析后决定接受的风险，需明确接受条件并持续监控。</w:t>
      </w:r>
    </w:p>
    <w:p w14:paraId="2BCE921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变更中的风险管理：所有变更请求（RFC）必须包含信息安全影响评估。变更顾问委员会（CAB）应将安全风险评估作为审批的必要依据。</w:t>
      </w:r>
    </w:p>
    <w:p w14:paraId="308FE896">
      <w:pPr>
        <w:pStyle w:val="30"/>
        <w:bidi w:val="0"/>
        <w:rPr>
          <w:rFonts w:hint="eastAsia"/>
          <w:lang w:val="en-US" w:eastAsia="zh-CN"/>
        </w:rPr>
      </w:pPr>
      <w:bookmarkStart w:id="12" w:name="_Toc11449"/>
      <w:r>
        <w:rPr>
          <w:rFonts w:hint="eastAsia"/>
          <w:lang w:val="en-US" w:eastAsia="zh-CN"/>
        </w:rPr>
        <w:t>信息安全事件管理</w:t>
      </w:r>
      <w:bookmarkEnd w:id="12"/>
    </w:p>
    <w:p w14:paraId="54D606F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事件受理与响应：所有信息安全事件必须通过服务台统一受理，并严格遵循《事件管理制度》进行分级（通常定义为高级别事件）、响应、升级和处置。</w:t>
      </w:r>
    </w:p>
    <w:p w14:paraId="387BAA6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调查与分析：重大信息安全事件在应急处置后，必须依据《问题管理制度》启动根本原因分析（RCA），防止再发生。</w:t>
      </w:r>
    </w:p>
    <w:p w14:paraId="758F741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报告与改进：运维部应定期（每季度）分析信息安全事件，形成报告，并驱动安全控制措施和流程的改进。</w:t>
      </w:r>
    </w:p>
    <w:p w14:paraId="1F2443D7">
      <w:pPr>
        <w:pStyle w:val="30"/>
        <w:bidi w:val="0"/>
        <w:rPr>
          <w:rFonts w:hint="eastAsia"/>
          <w:lang w:val="en-US" w:eastAsia="zh-CN"/>
        </w:rPr>
      </w:pPr>
      <w:bookmarkStart w:id="13" w:name="_Toc11539"/>
      <w:r>
        <w:rPr>
          <w:rFonts w:hint="eastAsia"/>
          <w:lang w:val="en-US" w:eastAsia="zh-CN"/>
        </w:rPr>
        <w:t>定期评审与改进</w:t>
      </w:r>
      <w:bookmarkEnd w:id="13"/>
    </w:p>
    <w:p w14:paraId="116DF91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团队应至少每年组织一次管理评审，结合风险评估结果、安全事件分析、审计发现、相关方反馈及内外部环境变化，全面评审信息安全管理体系的持续适宜性、充分性和有效性，并输出明确的改进决策。</w:t>
      </w:r>
    </w:p>
    <w:p w14:paraId="63CA8A4A">
      <w:pPr>
        <w:pStyle w:val="28"/>
        <w:bidi w:val="0"/>
        <w:rPr>
          <w:rFonts w:hint="eastAsia"/>
          <w:lang w:val="en-US" w:eastAsia="zh-CN"/>
        </w:rPr>
      </w:pPr>
      <w:bookmarkStart w:id="14" w:name="_Toc22101"/>
      <w:r>
        <w:rPr>
          <w:rFonts w:hint="eastAsia"/>
          <w:lang w:val="en-US" w:eastAsia="zh-CN"/>
        </w:rPr>
        <w:t>信息安全策略体系</w:t>
      </w:r>
      <w:bookmarkEnd w:id="14"/>
    </w:p>
    <w:p w14:paraId="34235927">
      <w:pPr>
        <w:pStyle w:val="30"/>
        <w:bidi w:val="0"/>
        <w:rPr>
          <w:rFonts w:hint="eastAsia"/>
          <w:lang w:val="en-US" w:eastAsia="zh-CN"/>
        </w:rPr>
      </w:pPr>
      <w:bookmarkStart w:id="15" w:name="_Toc25807"/>
      <w:r>
        <w:rPr>
          <w:rFonts w:hint="eastAsia"/>
          <w:lang w:val="en-US" w:eastAsia="zh-CN"/>
        </w:rPr>
        <w:t>总方针与核心要求</w:t>
      </w:r>
      <w:bookmarkEnd w:id="15"/>
    </w:p>
    <w:p w14:paraId="0719611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公司承诺保护所有信息资产免受内外部威胁，确保业务连续性。所有员工及第三方在访问公司或客户信息资产时，必须遵守“业务需要才知密，最小权限可访问，所有操作留痕迹”的基本原则。</w:t>
      </w:r>
    </w:p>
    <w:p w14:paraId="3A98E145">
      <w:pPr>
        <w:pStyle w:val="30"/>
        <w:bidi w:val="0"/>
        <w:rPr>
          <w:rFonts w:hint="eastAsia"/>
          <w:lang w:val="en-US" w:eastAsia="zh-CN"/>
        </w:rPr>
      </w:pPr>
      <w:bookmarkStart w:id="16" w:name="_Toc16149"/>
      <w:r>
        <w:rPr>
          <w:rFonts w:hint="eastAsia"/>
          <w:lang w:val="en-US" w:eastAsia="zh-CN"/>
        </w:rPr>
        <w:t>人员安全管理</w:t>
      </w:r>
      <w:bookmarkEnd w:id="16"/>
    </w:p>
    <w:p w14:paraId="2A4A800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聘用：关键岗位人员聘用前需进行必要的背景审查。</w:t>
      </w:r>
    </w:p>
    <w:p w14:paraId="7FEF4A4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协议：所有员工入职时必须签署《保密协议》及《信息安全责任书》。</w:t>
      </w:r>
    </w:p>
    <w:p w14:paraId="4436EAA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离职：员工离职时，必须立即回收所有权限，并完成信息资产交接。</w:t>
      </w:r>
    </w:p>
    <w:p w14:paraId="49F206ED">
      <w:pPr>
        <w:pStyle w:val="30"/>
        <w:bidi w:val="0"/>
        <w:rPr>
          <w:rFonts w:hint="eastAsia"/>
          <w:lang w:val="en-US" w:eastAsia="zh-CN"/>
        </w:rPr>
      </w:pPr>
      <w:bookmarkStart w:id="17" w:name="_Toc29139"/>
      <w:r>
        <w:rPr>
          <w:rFonts w:hint="eastAsia"/>
          <w:lang w:val="en-US" w:eastAsia="zh-CN"/>
        </w:rPr>
        <w:t>第三方安全管理</w:t>
      </w:r>
      <w:bookmarkEnd w:id="17"/>
    </w:p>
    <w:p w14:paraId="094E391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协议约束：与供应商、合作伙伴等第三方签署的合同或协议中，必须包含明确的信息安全责任条款。</w:t>
      </w:r>
    </w:p>
    <w:p w14:paraId="1BA1336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风险评估：对能够访问或处理公司/客户敏感信息的第三方，应在合作前进行安全能力评估，并在合作期间定期审计。</w:t>
      </w:r>
    </w:p>
    <w:p w14:paraId="62EB023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持续监控：运维部与采购部共同负责对关键第三方的安全表现进行监控。</w:t>
      </w:r>
    </w:p>
    <w:p w14:paraId="1D23C34C">
      <w:pPr>
        <w:pStyle w:val="28"/>
        <w:bidi w:val="0"/>
        <w:rPr>
          <w:rFonts w:hint="eastAsia"/>
          <w:lang w:val="en-US" w:eastAsia="zh-CN"/>
        </w:rPr>
      </w:pPr>
      <w:bookmarkStart w:id="18" w:name="_Toc23765"/>
      <w:r>
        <w:rPr>
          <w:rFonts w:hint="eastAsia"/>
          <w:lang w:val="en-US" w:eastAsia="zh-CN"/>
        </w:rPr>
        <w:t>信息安全培训管理</w:t>
      </w:r>
      <w:bookmarkEnd w:id="18"/>
    </w:p>
    <w:p w14:paraId="494590B5">
      <w:pPr>
        <w:pStyle w:val="30"/>
        <w:bidi w:val="0"/>
        <w:rPr>
          <w:rFonts w:hint="eastAsia"/>
          <w:lang w:val="en-US" w:eastAsia="zh-CN"/>
        </w:rPr>
      </w:pPr>
      <w:bookmarkStart w:id="19" w:name="_Toc31307"/>
      <w:r>
        <w:rPr>
          <w:rFonts w:hint="eastAsia"/>
          <w:lang w:val="en-US" w:eastAsia="zh-CN"/>
        </w:rPr>
        <w:t>培训目标与责任</w:t>
      </w:r>
      <w:bookmarkEnd w:id="19"/>
    </w:p>
    <w:p w14:paraId="7A48BA5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为确保不同层级员工具备相适应的安全意识和能力，建立分层培训体系。</w:t>
      </w:r>
    </w:p>
    <w:p w14:paraId="1BEDD94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人力资源部：作为培训归口管理部门，负责制定年度全员安全培训计划、组织通用安全意识培训、维护培训记录。</w:t>
      </w:r>
    </w:p>
    <w:p w14:paraId="3FF2850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运维部/研发部：负责制定并提供专业技术安全培训内容与讲师。</w:t>
      </w:r>
    </w:p>
    <w:p w14:paraId="6ECCDEE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各部门负责人：负责督促本部门员工完成培训要求。</w:t>
      </w:r>
    </w:p>
    <w:p w14:paraId="1F5B4FA9">
      <w:pPr>
        <w:pStyle w:val="30"/>
        <w:bidi w:val="0"/>
        <w:rPr>
          <w:rFonts w:hint="eastAsia"/>
          <w:lang w:val="en-US" w:eastAsia="zh-CN"/>
        </w:rPr>
      </w:pPr>
      <w:bookmarkStart w:id="20" w:name="_Toc3560"/>
      <w:r>
        <w:rPr>
          <w:rFonts w:hint="eastAsia"/>
          <w:lang w:val="en-US" w:eastAsia="zh-CN"/>
        </w:rPr>
        <w:t>培训内容与对象</w:t>
      </w:r>
      <w:bookmarkEnd w:id="20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903"/>
        <w:gridCol w:w="3862"/>
        <w:gridCol w:w="1694"/>
      </w:tblGrid>
      <w:tr w14:paraId="6C09D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A8CA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培训类别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343B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A73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5D6F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最低频率</w:t>
            </w:r>
          </w:p>
        </w:tc>
      </w:tr>
      <w:tr w14:paraId="1A8C1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887F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全员意识培训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C48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5A68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信息安全方针、基本概念、法律法规、社交工程防范、日常安全守则、事件报告流程。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DC10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入职后1个月内完成，之后每年1次</w:t>
            </w:r>
          </w:p>
        </w:tc>
      </w:tr>
      <w:tr w14:paraId="06E38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E1CA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岗位技能培训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7BA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运维工程师、开发工程师、测试工程师等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5B82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安全开发规范、系统安全加固、漏洞扫描与修复、日志安全分析、应急响应操作等。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73BE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每年至少1次</w:t>
            </w:r>
          </w:p>
        </w:tc>
      </w:tr>
      <w:tr w14:paraId="09522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F206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管理层培训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179D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各级管理人员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D9E96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信息安全战略、风险管理、法律法规责任、业务连续性管理。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AEEE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每年至少1次</w:t>
            </w:r>
          </w:p>
        </w:tc>
      </w:tr>
    </w:tbl>
    <w:p w14:paraId="686EF641">
      <w:pPr>
        <w:pStyle w:val="30"/>
        <w:bidi w:val="0"/>
        <w:rPr>
          <w:rFonts w:hint="eastAsia"/>
          <w:lang w:val="en-US" w:eastAsia="zh-CN"/>
        </w:rPr>
      </w:pPr>
      <w:bookmarkStart w:id="21" w:name="_Toc14532"/>
      <w:r>
        <w:rPr>
          <w:rFonts w:hint="eastAsia"/>
          <w:lang w:val="en-US" w:eastAsia="zh-CN"/>
        </w:rPr>
        <w:t>培训实施与记录</w:t>
      </w:r>
      <w:bookmarkEnd w:id="21"/>
    </w:p>
    <w:p w14:paraId="1A85249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培训可采用线上课程、线下讲座、演练等多种形式。</w:t>
      </w:r>
    </w:p>
    <w:p w14:paraId="77D21FB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所有培训需保留完整的记录，包括：培训通知、签到表、课件、考核成绩（如有）。</w:t>
      </w:r>
    </w:p>
    <w:p w14:paraId="7EB16CD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员工培训档案由人力资源部统一管理，培训完成情况作为岗位授权和晋升的参考依据。</w:t>
      </w:r>
    </w:p>
    <w:p w14:paraId="1CC4C95B">
      <w:pPr>
        <w:pStyle w:val="30"/>
        <w:bidi w:val="0"/>
        <w:rPr>
          <w:rFonts w:hint="eastAsia"/>
          <w:lang w:val="en-US" w:eastAsia="zh-CN"/>
        </w:rPr>
      </w:pPr>
      <w:bookmarkStart w:id="22" w:name="_Toc18950"/>
      <w:r>
        <w:rPr>
          <w:rFonts w:hint="eastAsia"/>
          <w:lang w:val="en-US" w:eastAsia="zh-CN"/>
        </w:rPr>
        <w:t>培训效果评估与更新</w:t>
      </w:r>
      <w:bookmarkEnd w:id="22"/>
    </w:p>
    <w:p w14:paraId="1AD2A34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通过问卷、考试、模拟演练等方式评估培训效果。</w:t>
      </w:r>
    </w:p>
    <w:p w14:paraId="74A0876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质量管理部应定期对培训计划的落实情况和效果进行抽查。</w:t>
      </w:r>
    </w:p>
    <w:p w14:paraId="03B621F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培训内容应根据安全威胁形势、技术发展、制度更新和评估反馈进行动态调整和优化。</w:t>
      </w:r>
    </w:p>
    <w:p w14:paraId="00D5F984">
      <w:pPr>
        <w:pStyle w:val="28"/>
        <w:bidi w:val="0"/>
        <w:rPr>
          <w:rFonts w:hint="eastAsia"/>
          <w:lang w:val="en-US" w:eastAsia="zh-CN"/>
        </w:rPr>
      </w:pPr>
      <w:bookmarkStart w:id="23" w:name="_Toc22516"/>
      <w:r>
        <w:rPr>
          <w:rFonts w:hint="eastAsia"/>
          <w:lang w:val="en-US" w:eastAsia="zh-CN"/>
        </w:rPr>
        <w:t>与其他流程的接口</w:t>
      </w:r>
      <w:bookmarkEnd w:id="23"/>
    </w:p>
    <w:p w14:paraId="730AE37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服务级别管理：SLA中应明确安全服务目标（如安全事件响应时间、漏洞修复SLA）。</w:t>
      </w:r>
    </w:p>
    <w:p w14:paraId="56DD57F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事件管理：是信息安全事件处置的主流程。</w:t>
      </w:r>
    </w:p>
    <w:p w14:paraId="1A89423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问题管理：用于分析信息安全事件的根因并实施长效改进。</w:t>
      </w:r>
    </w:p>
    <w:p w14:paraId="28F11B6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变更管理：是实施安全加固、漏洞修复等风险控制措施的核心路径。</w:t>
      </w:r>
    </w:p>
    <w:p w14:paraId="302E34D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配置管理：CMDB是信息资产清单的技术基础，确保安全控制对象准确无误。</w:t>
      </w:r>
    </w:p>
    <w:p w14:paraId="75351AA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发布管理：确保只有经过安全测试和授权的版本才能上线。</w:t>
      </w:r>
    </w:p>
    <w:p w14:paraId="44771FF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17277"/>
      <w:r>
        <w:rPr>
          <w:rFonts w:hint="eastAsia"/>
          <w:lang w:val="en-US" w:eastAsia="zh-CN"/>
        </w:rPr>
        <w:t>考核指标</w:t>
      </w:r>
      <w:bookmarkEnd w:id="24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408"/>
        <w:gridCol w:w="948"/>
      </w:tblGrid>
      <w:tr w14:paraId="4F9E88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8766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E14D4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4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7E3EE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27B58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04A67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13CD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信息安全事件数量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2A64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≤1次</w:t>
            </w:r>
          </w:p>
        </w:tc>
        <w:tc>
          <w:tcPr>
            <w:tcW w:w="34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97B0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我方人员造成信息安全事件的次数</w:t>
            </w:r>
          </w:p>
        </w:tc>
        <w:tc>
          <w:tcPr>
            <w:tcW w:w="9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4C26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 w14:paraId="6D750B95">
      <w:pPr>
        <w:pStyle w:val="28"/>
        <w:bidi w:val="0"/>
        <w:rPr>
          <w:rFonts w:hint="eastAsia"/>
          <w:lang w:val="en-US" w:eastAsia="zh-CN"/>
        </w:rPr>
      </w:pPr>
      <w:bookmarkStart w:id="25" w:name="_Toc29077"/>
      <w:r>
        <w:rPr>
          <w:rFonts w:hint="eastAsia"/>
          <w:lang w:val="en-US" w:eastAsia="zh-CN"/>
        </w:rPr>
        <w:t>附则</w:t>
      </w:r>
      <w:bookmarkEnd w:id="25"/>
    </w:p>
    <w:p w14:paraId="5BE95B0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本制度由运维部负责解释与修订。</w:t>
      </w:r>
    </w:p>
    <w:p w14:paraId="3829AAE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本制度自发布之日起生效，原相关规定同时废止。</w:t>
      </w:r>
    </w:p>
    <w:p w14:paraId="17FB0F5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本制度涉及的相关模板（《信息资产清单》、《信息安全风险评估表》等）由信息安全管理团队负责制定与维护。</w:t>
      </w:r>
    </w:p>
    <w:p w14:paraId="6783845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公司将依据本制度，陆续制定并发布具体的分项安全管理办法与操作指南。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F6C82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F516760"/>
    <w:rsid w:val="43CE1A9B"/>
    <w:rsid w:val="7BC00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1099</Words>
  <Characters>1234</Characters>
  <Lines>0</Lines>
  <Paragraphs>0</Paragraphs>
  <TotalTime>0</TotalTime>
  <ScaleCrop>false</ScaleCrop>
  <LinksUpToDate>false</LinksUpToDate>
  <CharactersWithSpaces>1340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2026-04-25T15:42:55Z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