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5CAE70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3851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592B4672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9961"/>
      <w:r>
        <w:rPr>
          <w:rFonts w:hint="eastAsia"/>
          <w:lang w:val="en-US" w:eastAsia="zh-CN"/>
        </w:rPr>
        <w:t>2026年3月公安视频监控项目运维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服务计划</w:t>
      </w:r>
      <w:bookmarkEnd w:id="1"/>
    </w:p>
    <w:p w14:paraId="046C967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DATA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301BCD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68B10A2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2B7A6A9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2026.03.10</w:t>
            </w:r>
          </w:p>
        </w:tc>
      </w:tr>
      <w:tr w14:paraId="7BE1D5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1908C29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569200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2026.03.10</w:t>
            </w:r>
          </w:p>
        </w:tc>
      </w:tr>
      <w:tr w14:paraId="47363A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31D4AC6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1E9041F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2026.03.10</w:t>
            </w:r>
          </w:p>
        </w:tc>
      </w:tr>
    </w:tbl>
    <w:p w14:paraId="7126F2A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5D832C1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060FF0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5DFDC51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4B0932E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2A4F7D6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4508ECD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2DC00F2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5366EB2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385E27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  <w:vAlign w:val="top"/>
          </w:tcPr>
          <w:p w14:paraId="05E8C63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6</w:t>
            </w:r>
            <w:bookmarkStart w:id="38" w:name="_GoBack"/>
            <w:bookmarkEnd w:id="38"/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  <w:vAlign w:val="top"/>
          </w:tcPr>
          <w:p w14:paraId="7D910AE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</w:t>
            </w:r>
            <w:r>
              <w:rPr>
                <w:rFonts w:hint="eastAsia" w:ascii="宋体" w:hAnsi="宋体" w:cs="宋体"/>
                <w:spacing w:val="4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.0</w:t>
            </w:r>
          </w:p>
        </w:tc>
        <w:tc>
          <w:tcPr>
            <w:tcW w:w="1575" w:type="dxa"/>
            <w:vAlign w:val="top"/>
          </w:tcPr>
          <w:p w14:paraId="267C3D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新建</w:t>
            </w:r>
          </w:p>
        </w:tc>
        <w:tc>
          <w:tcPr>
            <w:tcW w:w="1829" w:type="dxa"/>
            <w:vAlign w:val="top"/>
          </w:tcPr>
          <w:p w14:paraId="5043A25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程方</w:t>
            </w:r>
          </w:p>
        </w:tc>
        <w:tc>
          <w:tcPr>
            <w:tcW w:w="1606" w:type="dxa"/>
            <w:vAlign w:val="top"/>
          </w:tcPr>
          <w:p w14:paraId="1C4D682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  <w:vAlign w:val="top"/>
          </w:tcPr>
          <w:p w14:paraId="59BA833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58392E0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  <w:shd w:val="clear" w:color="auto" w:fill="auto"/>
          </w:tcPr>
          <w:p w14:paraId="5649AB0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72" w:type="dxa"/>
            <w:shd w:val="clear" w:color="auto" w:fill="auto"/>
          </w:tcPr>
          <w:p w14:paraId="2AE3367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 w14:paraId="35A7CFD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829" w:type="dxa"/>
            <w:shd w:val="clear" w:color="auto" w:fill="auto"/>
          </w:tcPr>
          <w:p w14:paraId="0400D94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 w14:paraId="6DF7D7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en-US"/>
              </w:rPr>
            </w:pPr>
          </w:p>
        </w:tc>
        <w:tc>
          <w:tcPr>
            <w:tcW w:w="915" w:type="dxa"/>
            <w:shd w:val="clear" w:color="auto" w:fill="auto"/>
          </w:tcPr>
          <w:p w14:paraId="590EF58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  <w:tr w14:paraId="3DE4009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66E8794A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4B361EE1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3EFF4A21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766E911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7A9955E2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4E763DA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14C599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0080362B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45759687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B4E874E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678AB209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FE68B13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62B938D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1A2E64C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16326D35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52A1103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_Toc23851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_Toc23851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BF4301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_Toc9961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2026年3月公安视频监控项目运维</w:t>
          </w:r>
          <w:r>
            <w:rPr>
              <w:rFonts w:hint="eastAsia"/>
              <w:lang w:val="en-US" w:eastAsia="zh-CN"/>
            </w:rPr>
            <w:t xml:space="preserve"> </w:t>
          </w:r>
          <w:r>
            <w:rPr>
              <w:rFonts w:hint="eastAsia"/>
              <w:lang w:val="en-US" w:eastAsia="zh-CN"/>
            </w:rPr>
            <w:t>服务计划</w:t>
          </w:r>
          <w:r>
            <w:tab/>
          </w:r>
          <w:r>
            <w:fldChar w:fldCharType="begin"/>
          </w:r>
          <w:r>
            <w:instrText xml:space="preserve"> PAGEREF _Toc9961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5AAD0C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_Toc9176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计划编写背景</w:t>
          </w:r>
          <w:r>
            <w:tab/>
          </w:r>
          <w:r>
            <w:fldChar w:fldCharType="begin"/>
          </w:r>
          <w:r>
            <w:instrText xml:space="preserve"> PAGEREF _Toc9176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54A1A1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_Toc30081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报告核心内容规划</w:t>
          </w:r>
          <w:r>
            <w:tab/>
          </w:r>
          <w:r>
            <w:fldChar w:fldCharType="begin"/>
          </w:r>
          <w:r>
            <w:instrText xml:space="preserve"> PAGEREF _Toc30081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860C26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_Toc25175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t>项目重点工作回顾</w:t>
          </w:r>
          <w:r>
            <w:tab/>
          </w:r>
          <w:r>
            <w:fldChar w:fldCharType="begin"/>
          </w:r>
          <w:r>
            <w:instrText xml:space="preserve"> PAGEREF _Toc25175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450362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_Toc1236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2.2. </w:t>
          </w:r>
          <w:r>
            <w:t>服务支持情况统计</w:t>
          </w:r>
          <w:r>
            <w:tab/>
          </w:r>
          <w:r>
            <w:fldChar w:fldCharType="begin"/>
          </w:r>
          <w:r>
            <w:instrText xml:space="preserve"> PAGEREF _Toc1236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25825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_Toc30484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2.2.1. </w:t>
          </w:r>
          <w:r>
            <w:t>硬件维修与备件更换情况</w:t>
          </w:r>
          <w:r>
            <w:tab/>
          </w:r>
          <w:r>
            <w:fldChar w:fldCharType="begin"/>
          </w:r>
          <w:r>
            <w:instrText xml:space="preserve"> PAGEREF _Toc30484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FCD979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_Toc5404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2.2.2. </w:t>
          </w:r>
          <w:r>
            <w:t>事件与问题处理情况</w:t>
          </w:r>
          <w:r>
            <w:tab/>
          </w:r>
          <w:r>
            <w:fldChar w:fldCharType="begin"/>
          </w:r>
          <w:r>
            <w:instrText xml:space="preserve"> PAGEREF _Toc5404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A40B01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_Toc5849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2.2.3. </w:t>
          </w:r>
          <w:r>
            <w:t>设备运行状态检查情况</w:t>
          </w:r>
          <w:r>
            <w:tab/>
          </w:r>
          <w:r>
            <w:fldChar w:fldCharType="begin"/>
          </w:r>
          <w:r>
            <w:instrText xml:space="preserve"> PAGEREF _Toc5849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63202A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_Toc3987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2.3. </w:t>
          </w:r>
          <w:r>
            <w:t>项目情况统计分析</w:t>
          </w:r>
          <w:r>
            <w:tab/>
          </w:r>
          <w:r>
            <w:fldChar w:fldCharType="begin"/>
          </w:r>
          <w:r>
            <w:instrText xml:space="preserve"> PAGEREF _Toc3987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97895A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_Toc14152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2.3.1. </w:t>
          </w:r>
          <w:r>
            <w:t>在线率统计分析</w:t>
          </w:r>
          <w:r>
            <w:tab/>
          </w:r>
          <w:r>
            <w:fldChar w:fldCharType="begin"/>
          </w:r>
          <w:r>
            <w:instrText xml:space="preserve"> PAGEREF _Toc14152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13518D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_Toc10097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2.3.2. </w:t>
          </w:r>
          <w:r>
            <w:t>故障分类统计</w:t>
          </w:r>
          <w:r>
            <w:tab/>
          </w:r>
          <w:r>
            <w:fldChar w:fldCharType="begin"/>
          </w:r>
          <w:r>
            <w:instrText xml:space="preserve"> PAGEREF _Toc10097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AE304C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2.3.3. </w:t>
          </w:r>
          <w:r>
            <w:t>故障趋势分析</w:t>
          </w:r>
          <w:r>
            <w:tab/>
          </w:r>
          <w:r>
            <w:fldChar w:fldCharType="begin"/>
          </w:r>
          <w:r>
            <w:instrText xml:space="preserve"> PAGEREF _Toc2637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AD75E6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_Toc19494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2.3.4. </w:t>
          </w:r>
          <w:r>
            <w:t>服务级别达成情况</w:t>
          </w:r>
          <w:r>
            <w:tab/>
          </w:r>
          <w:r>
            <w:fldChar w:fldCharType="begin"/>
          </w:r>
          <w:r>
            <w:instrText xml:space="preserve"> PAGEREF _Toc19494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E9D092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_Toc31236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2.3.5. </w:t>
          </w:r>
          <w:r>
            <w:t>备件使用情况</w:t>
          </w:r>
          <w:r>
            <w:tab/>
          </w:r>
          <w:r>
            <w:fldChar w:fldCharType="begin"/>
          </w:r>
          <w:r>
            <w:instrText xml:space="preserve"> PAGEREF _Toc31236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F3C44B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_Toc15901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2.3.6. </w:t>
          </w:r>
          <w:r>
            <w:t>信息安全与保密管理情况</w:t>
          </w:r>
          <w:r>
            <w:tab/>
          </w:r>
          <w:r>
            <w:fldChar w:fldCharType="begin"/>
          </w:r>
          <w:r>
            <w:instrText xml:space="preserve"> PAGEREF _Toc15901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003244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_Toc20709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2.4. </w:t>
          </w:r>
          <w:r>
            <w:t>服务报告结果决策</w:t>
          </w:r>
          <w:r>
            <w:tab/>
          </w:r>
          <w:r>
            <w:fldChar w:fldCharType="begin"/>
          </w:r>
          <w:r>
            <w:instrText xml:space="preserve"> PAGEREF _Toc20709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E20B10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_Toc25284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报告编写时间安排</w:t>
          </w:r>
          <w:r>
            <w:tab/>
          </w:r>
          <w:r>
            <w:fldChar w:fldCharType="begin"/>
          </w:r>
          <w:r>
            <w:instrText xml:space="preserve"> PAGEREF _Toc25284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9B3186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_Toc22579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报告编写责任人</w:t>
          </w:r>
          <w:r>
            <w:tab/>
          </w:r>
          <w:r>
            <w:fldChar w:fldCharType="begin"/>
          </w:r>
          <w:r>
            <w:instrText xml:space="preserve"> PAGEREF _Toc22579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944466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_Toc6578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注意事项</w:t>
          </w:r>
          <w:r>
            <w:tab/>
          </w:r>
          <w:r>
            <w:fldChar w:fldCharType="begin"/>
          </w:r>
          <w:r>
            <w:instrText xml:space="preserve"> PAGEREF _Toc6578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3217C86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5F2020A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2AB1F589">
      <w:pPr>
        <w:pStyle w:val="29"/>
        <w:bidi w:val="0"/>
      </w:pPr>
      <w:bookmarkStart w:id="2" w:name="heading_0"/>
      <w:bookmarkStart w:id="3" w:name="_Toc9176"/>
      <w:r>
        <w:t>计划编写背景</w:t>
      </w:r>
      <w:bookmarkEnd w:id="2"/>
      <w:bookmarkEnd w:id="3"/>
    </w:p>
    <w:p w14:paraId="1CEAE483">
      <w:pPr>
        <w:pStyle w:val="30"/>
        <w:bidi w:val="0"/>
      </w:pPr>
      <w:r>
        <w:t>为全面系统总结公安视频监控项目2026年3月运维服务工作情况，精准评估视频监控系统运行质量与服务实施效果，及时发现前端设备、网络传输、后端存储等环节存在的问题并制定针对性改进措施，严格落实合同约定的服务标准与SLA要求，为后续运维服务优化及服务能力提升提供科学指导依据，特制定本3月服务报告计划。</w:t>
      </w:r>
    </w:p>
    <w:p w14:paraId="3CACB363">
      <w:pPr>
        <w:pStyle w:val="29"/>
        <w:bidi w:val="0"/>
      </w:pPr>
      <w:bookmarkStart w:id="4" w:name="heading_1"/>
      <w:bookmarkStart w:id="5" w:name="_Toc30081"/>
      <w:r>
        <w:t>报告核心内容规划</w:t>
      </w:r>
      <w:bookmarkEnd w:id="4"/>
      <w:bookmarkEnd w:id="5"/>
    </w:p>
    <w:p w14:paraId="2FA6BF8E">
      <w:pPr>
        <w:pStyle w:val="31"/>
        <w:bidi w:val="0"/>
      </w:pPr>
      <w:bookmarkStart w:id="6" w:name="heading_2"/>
      <w:bookmarkStart w:id="7" w:name="_Toc25175"/>
      <w:r>
        <w:t>项目重点工作回顾</w:t>
      </w:r>
      <w:bookmarkEnd w:id="6"/>
      <w:bookmarkEnd w:id="7"/>
    </w:p>
    <w:p w14:paraId="0832ECA0">
      <w:pPr>
        <w:pStyle w:val="30"/>
        <w:bidi w:val="0"/>
      </w:pPr>
      <w:r>
        <w:t>明确3月围绕甲方业务需求及合同约定服务范围开展的重点工作，包括：</w:t>
      </w:r>
    </w:p>
    <w:p w14:paraId="25491EDD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是否完成月度巡检计划（每月不少于25%点位）</w:t>
      </w:r>
    </w:p>
    <w:p w14:paraId="574D0439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是否完成一季度深度保养工作</w:t>
      </w:r>
    </w:p>
    <w:p w14:paraId="758996E4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是否提供7×24小时故障响应与技术支持服务</w:t>
      </w:r>
    </w:p>
    <w:p w14:paraId="50DD9763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是否完成备件更换与故障设备维修</w:t>
      </w:r>
    </w:p>
    <w:p w14:paraId="5825A8EB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是否提交月度在线率及健康度报告</w:t>
      </w:r>
    </w:p>
    <w:p w14:paraId="4CFA07C7">
      <w:pPr>
        <w:pStyle w:val="30"/>
        <w:bidi w:val="0"/>
      </w:pPr>
      <w:r>
        <w:t>详细说明各项重点工作的具体实施情况，包括工作开展的起止时间、实施方式（现场巡检/远程支持/应急抢修）、核心参与人员及职责分工，明确各工作环节与甲方对接人的沟通协作情况。</w:t>
      </w:r>
    </w:p>
    <w:p w14:paraId="18B33EF0">
      <w:pPr>
        <w:pStyle w:val="31"/>
        <w:bidi w:val="0"/>
      </w:pPr>
      <w:bookmarkStart w:id="8" w:name="heading_3"/>
      <w:bookmarkStart w:id="9" w:name="_Toc1236"/>
      <w:r>
        <w:t>服务支持情况统计</w:t>
      </w:r>
      <w:bookmarkEnd w:id="8"/>
      <w:bookmarkEnd w:id="9"/>
    </w:p>
    <w:p w14:paraId="1E696631">
      <w:pPr>
        <w:pStyle w:val="32"/>
        <w:bidi w:val="0"/>
      </w:pPr>
      <w:bookmarkStart w:id="10" w:name="heading_4"/>
      <w:bookmarkStart w:id="11" w:name="_Toc30484"/>
      <w:r>
        <w:t>硬件维修与备件更换情况</w:t>
      </w:r>
      <w:bookmarkEnd w:id="10"/>
      <w:bookmarkEnd w:id="11"/>
    </w:p>
    <w:p w14:paraId="34AE1E81">
      <w:pPr>
        <w:pStyle w:val="41"/>
        <w:numPr>
          <w:ilvl w:val="0"/>
          <w:numId w:val="3"/>
        </w:numPr>
        <w:bidi w:val="0"/>
        <w:ind w:left="425" w:leftChars="0" w:hanging="425" w:firstLineChars="0"/>
      </w:pPr>
      <w:r>
        <w:t>统计3月视频监控设备的维修次数、备件更换数量及类型（摄像机、电源适配器、光纤收发器、交换机等）</w:t>
      </w:r>
    </w:p>
    <w:p w14:paraId="50929A6E">
      <w:pPr>
        <w:pStyle w:val="41"/>
        <w:numPr>
          <w:ilvl w:val="0"/>
          <w:numId w:val="3"/>
        </w:numPr>
        <w:bidi w:val="0"/>
        <w:ind w:left="425" w:leftChars="0" w:hanging="425" w:firstLineChars="0"/>
      </w:pPr>
      <w:r>
        <w:t>详细记录维修更换的触发原因（设备故障告警/定期巡检发现/性能衰减等）、具体实施过程、备件来源及故障件处理情况</w:t>
      </w:r>
    </w:p>
    <w:p w14:paraId="6FA7D11A">
      <w:pPr>
        <w:pStyle w:val="41"/>
        <w:numPr>
          <w:ilvl w:val="0"/>
          <w:numId w:val="3"/>
        </w:numPr>
        <w:bidi w:val="0"/>
        <w:ind w:left="425" w:leftChars="0" w:hanging="425" w:firstLineChars="0"/>
      </w:pPr>
      <w:r>
        <w:t>验证备件更换后设备的运行效果</w:t>
      </w:r>
    </w:p>
    <w:p w14:paraId="67EFEB55">
      <w:pPr>
        <w:pStyle w:val="32"/>
        <w:bidi w:val="0"/>
      </w:pPr>
      <w:bookmarkStart w:id="12" w:name="heading_5"/>
      <w:bookmarkStart w:id="13" w:name="_Toc5404"/>
      <w:r>
        <w:t>事件与问题处理情况</w:t>
      </w:r>
      <w:bookmarkEnd w:id="12"/>
      <w:bookmarkEnd w:id="13"/>
    </w:p>
    <w:p w14:paraId="3024DC79">
      <w:pPr>
        <w:pStyle w:val="41"/>
        <w:numPr>
          <w:ilvl w:val="0"/>
          <w:numId w:val="4"/>
        </w:numPr>
        <w:bidi w:val="0"/>
        <w:ind w:left="425" w:leftChars="0" w:hanging="425" w:firstLineChars="0"/>
      </w:pPr>
      <w:r>
        <w:t>统计3月发生的故障事件数量、处理完成数量、处理率、及时解决率</w:t>
      </w:r>
    </w:p>
    <w:p w14:paraId="3E5D9408">
      <w:pPr>
        <w:pStyle w:val="41"/>
        <w:numPr>
          <w:ilvl w:val="0"/>
          <w:numId w:val="4"/>
        </w:numPr>
        <w:bidi w:val="0"/>
        <w:ind w:left="425" w:leftChars="0" w:hanging="425" w:firstLineChars="0"/>
      </w:pPr>
      <w:r>
        <w:t>详细记录每起事件的工单号、故障描述（如摄像机离线、图像卡顿、存储异常等）、故障等级（一级/二级/三级）、发起时间、责任人、处理方案、完成时间及客户确认情况</w:t>
      </w:r>
    </w:p>
    <w:p w14:paraId="00F8FA7A">
      <w:pPr>
        <w:pStyle w:val="41"/>
        <w:numPr>
          <w:ilvl w:val="0"/>
          <w:numId w:val="4"/>
        </w:numPr>
        <w:bidi w:val="0"/>
        <w:ind w:left="425" w:leftChars="0" w:hanging="425" w:firstLineChars="0"/>
      </w:pPr>
      <w:r>
        <w:t>统计3月出现的核心问题数量、处理完成数量、处理率，若有未解决问题，详细记录问题详情、当前处理进度及拟解决时间</w:t>
      </w:r>
    </w:p>
    <w:p w14:paraId="37B33C52">
      <w:pPr>
        <w:pStyle w:val="32"/>
        <w:bidi w:val="0"/>
      </w:pPr>
      <w:bookmarkStart w:id="14" w:name="heading_6"/>
      <w:bookmarkStart w:id="15" w:name="_Toc5849"/>
      <w:r>
        <w:t>设备运行状态检查情况</w:t>
      </w:r>
      <w:bookmarkEnd w:id="14"/>
      <w:bookmarkEnd w:id="15"/>
    </w:p>
    <w:p w14:paraId="67898F35">
      <w:pPr>
        <w:pStyle w:val="41"/>
        <w:numPr>
          <w:ilvl w:val="0"/>
          <w:numId w:val="5"/>
        </w:numPr>
        <w:bidi w:val="0"/>
        <w:ind w:left="425" w:leftChars="0" w:hanging="425" w:firstLineChars="0"/>
      </w:pPr>
      <w:r>
        <w:t>说明3月对前端摄像机、网络传输设备、后端存储设备的运行状态检查结果</w:t>
      </w:r>
    </w:p>
    <w:p w14:paraId="32E96182">
      <w:pPr>
        <w:pStyle w:val="41"/>
        <w:numPr>
          <w:ilvl w:val="0"/>
          <w:numId w:val="5"/>
        </w:numPr>
        <w:bidi w:val="0"/>
        <w:ind w:left="425" w:leftChars="0" w:hanging="425" w:firstLineChars="0"/>
      </w:pPr>
      <w:r>
        <w:t>包括检查范围（按点位区域分类）、检查方式（定期巡检/实时监控/专项检测）</w:t>
      </w:r>
    </w:p>
    <w:p w14:paraId="4F403AF2">
      <w:pPr>
        <w:pStyle w:val="41"/>
        <w:numPr>
          <w:ilvl w:val="0"/>
          <w:numId w:val="5"/>
        </w:numPr>
        <w:bidi w:val="0"/>
        <w:ind w:left="425" w:leftChars="0" w:hanging="425" w:firstLineChars="0"/>
      </w:pPr>
      <w:r>
        <w:t>是否存在设备运行异常、图像质量下降、录像存储故障等情况及对应的处置措施</w:t>
      </w:r>
    </w:p>
    <w:p w14:paraId="0E3B18C7">
      <w:pPr>
        <w:pStyle w:val="41"/>
        <w:numPr>
          <w:ilvl w:val="0"/>
          <w:numId w:val="5"/>
        </w:numPr>
        <w:bidi w:val="0"/>
        <w:ind w:left="425" w:leftChars="0" w:hanging="425" w:firstLineChars="0"/>
      </w:pPr>
      <w:r>
        <w:t>明确设备整体运行稳定性</w:t>
      </w:r>
    </w:p>
    <w:p w14:paraId="6140027D">
      <w:pPr>
        <w:pStyle w:val="31"/>
        <w:bidi w:val="0"/>
      </w:pPr>
      <w:bookmarkStart w:id="16" w:name="heading_7"/>
      <w:bookmarkStart w:id="17" w:name="_Toc3987"/>
      <w:r>
        <w:t>项目情况统计分析</w:t>
      </w:r>
      <w:bookmarkEnd w:id="16"/>
      <w:bookmarkEnd w:id="17"/>
    </w:p>
    <w:p w14:paraId="78ABAF41">
      <w:pPr>
        <w:pStyle w:val="32"/>
        <w:bidi w:val="0"/>
      </w:pPr>
      <w:bookmarkStart w:id="18" w:name="heading_8"/>
      <w:bookmarkStart w:id="19" w:name="_Toc14152"/>
      <w:r>
        <w:t>在线率统计分析</w:t>
      </w:r>
      <w:bookmarkEnd w:id="18"/>
      <w:bookmarkEnd w:id="19"/>
    </w:p>
    <w:p w14:paraId="39560E98">
      <w:pPr>
        <w:pStyle w:val="41"/>
        <w:numPr>
          <w:ilvl w:val="0"/>
          <w:numId w:val="6"/>
        </w:numPr>
        <w:bidi w:val="0"/>
      </w:pPr>
      <w:r>
        <w:t>统计3月整体在线率，与合同目标值（≥98%）对比</w:t>
      </w:r>
    </w:p>
    <w:p w14:paraId="259EB297">
      <w:pPr>
        <w:pStyle w:val="41"/>
        <w:numPr>
          <w:ilvl w:val="0"/>
          <w:numId w:val="6"/>
        </w:numPr>
        <w:bidi w:val="0"/>
      </w:pPr>
      <w:r>
        <w:t>按区域统计在线率明细，识别低在线率区域及原因分析</w:t>
      </w:r>
    </w:p>
    <w:p w14:paraId="59E57EDB">
      <w:pPr>
        <w:pStyle w:val="41"/>
        <w:numPr>
          <w:ilvl w:val="0"/>
          <w:numId w:val="6"/>
        </w:numPr>
        <w:bidi w:val="0"/>
      </w:pPr>
      <w:r>
        <w:t>说明经甲方确认剔除的非乙方责任离线时长（市政施工、供电停电等）</w:t>
      </w:r>
    </w:p>
    <w:p w14:paraId="72623DF6">
      <w:pPr>
        <w:pStyle w:val="32"/>
        <w:bidi w:val="0"/>
      </w:pPr>
      <w:bookmarkStart w:id="20" w:name="heading_9"/>
      <w:bookmarkStart w:id="21" w:name="_Toc10097"/>
      <w:r>
        <w:t>故障分类统计</w:t>
      </w:r>
      <w:bookmarkEnd w:id="20"/>
      <w:bookmarkEnd w:id="21"/>
    </w:p>
    <w:tbl>
      <w:tblPr>
        <w:tblStyle w:val="20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94"/>
        <w:gridCol w:w="1638"/>
        <w:gridCol w:w="983"/>
        <w:gridCol w:w="2295"/>
        <w:gridCol w:w="1312"/>
      </w:tblGrid>
      <w:tr w14:paraId="2BAC5F7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29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ED98C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故障类型</w:t>
            </w:r>
          </w:p>
        </w:tc>
        <w:tc>
          <w:tcPr>
            <w:tcW w:w="163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F878E4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发生次数</w:t>
            </w:r>
          </w:p>
        </w:tc>
        <w:tc>
          <w:tcPr>
            <w:tcW w:w="98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58F32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占比</w:t>
            </w:r>
          </w:p>
        </w:tc>
        <w:tc>
          <w:tcPr>
            <w:tcW w:w="229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EE76B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平均恢复时间</w:t>
            </w:r>
          </w:p>
        </w:tc>
        <w:tc>
          <w:tcPr>
            <w:tcW w:w="131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A17D16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处理率</w:t>
            </w:r>
          </w:p>
        </w:tc>
      </w:tr>
      <w:tr w14:paraId="72100BC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9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2821B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前端设备故障</w:t>
            </w:r>
          </w:p>
        </w:tc>
        <w:tc>
          <w:tcPr>
            <w:tcW w:w="16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7A7D7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—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2D518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—</w:t>
            </w:r>
          </w:p>
        </w:tc>
        <w:tc>
          <w:tcPr>
            <w:tcW w:w="229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F541C4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—</w:t>
            </w:r>
          </w:p>
        </w:tc>
        <w:tc>
          <w:tcPr>
            <w:tcW w:w="13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DD93F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—</w:t>
            </w:r>
          </w:p>
        </w:tc>
      </w:tr>
      <w:tr w14:paraId="1145BF4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9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BB5C6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网络传输故障</w:t>
            </w:r>
          </w:p>
        </w:tc>
        <w:tc>
          <w:tcPr>
            <w:tcW w:w="16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0DECC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—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C7251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—</w:t>
            </w:r>
          </w:p>
        </w:tc>
        <w:tc>
          <w:tcPr>
            <w:tcW w:w="229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20F3D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—</w:t>
            </w:r>
          </w:p>
        </w:tc>
        <w:tc>
          <w:tcPr>
            <w:tcW w:w="13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BF324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—</w:t>
            </w:r>
          </w:p>
        </w:tc>
      </w:tr>
      <w:tr w14:paraId="64E5127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9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14297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后端存储故障</w:t>
            </w:r>
          </w:p>
        </w:tc>
        <w:tc>
          <w:tcPr>
            <w:tcW w:w="16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6E048E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—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8D9E1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—</w:t>
            </w:r>
          </w:p>
        </w:tc>
        <w:tc>
          <w:tcPr>
            <w:tcW w:w="229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AD7E9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—</w:t>
            </w:r>
          </w:p>
        </w:tc>
        <w:tc>
          <w:tcPr>
            <w:tcW w:w="13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814CA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—</w:t>
            </w:r>
          </w:p>
        </w:tc>
      </w:tr>
      <w:tr w14:paraId="0982A9C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9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B771D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供电问题</w:t>
            </w:r>
          </w:p>
        </w:tc>
        <w:tc>
          <w:tcPr>
            <w:tcW w:w="16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6369E2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—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4598E0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—</w:t>
            </w:r>
          </w:p>
        </w:tc>
        <w:tc>
          <w:tcPr>
            <w:tcW w:w="229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47274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—</w:t>
            </w:r>
          </w:p>
        </w:tc>
        <w:tc>
          <w:tcPr>
            <w:tcW w:w="13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FAABA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—</w:t>
            </w:r>
          </w:p>
        </w:tc>
      </w:tr>
      <w:tr w14:paraId="35058A3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9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F9278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其他</w:t>
            </w:r>
          </w:p>
        </w:tc>
        <w:tc>
          <w:tcPr>
            <w:tcW w:w="163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79C274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—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B803D6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—</w:t>
            </w:r>
          </w:p>
        </w:tc>
        <w:tc>
          <w:tcPr>
            <w:tcW w:w="229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BBEB56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—</w:t>
            </w:r>
          </w:p>
        </w:tc>
        <w:tc>
          <w:tcPr>
            <w:tcW w:w="131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A52D5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—</w:t>
            </w:r>
          </w:p>
        </w:tc>
      </w:tr>
    </w:tbl>
    <w:p w14:paraId="57F010CA">
      <w:pPr>
        <w:pStyle w:val="32"/>
        <w:bidi w:val="0"/>
      </w:pPr>
      <w:bookmarkStart w:id="22" w:name="heading_10"/>
      <w:bookmarkStart w:id="23" w:name="_Toc2637"/>
      <w:r>
        <w:t>故障趋势分析</w:t>
      </w:r>
      <w:bookmarkEnd w:id="22"/>
      <w:bookmarkEnd w:id="23"/>
    </w:p>
    <w:p w14:paraId="3E5AF510">
      <w:pPr>
        <w:pStyle w:val="41"/>
        <w:numPr>
          <w:ilvl w:val="0"/>
          <w:numId w:val="7"/>
        </w:numPr>
        <w:bidi w:val="0"/>
        <w:ind w:left="425" w:leftChars="0" w:hanging="425" w:firstLineChars="0"/>
      </w:pPr>
      <w:r>
        <w:t>结合2026年1-2月故障数据，分析3月各类故障的数量增减变化，明确故障高发类型及诱因</w:t>
      </w:r>
    </w:p>
    <w:p w14:paraId="7FA6F93C">
      <w:pPr>
        <w:pStyle w:val="41"/>
        <w:numPr>
          <w:ilvl w:val="0"/>
          <w:numId w:val="7"/>
        </w:numPr>
        <w:bidi w:val="0"/>
        <w:ind w:left="425" w:leftChars="0" w:hanging="425" w:firstLineChars="0"/>
      </w:pPr>
      <w:r>
        <w:t>分析服务响应时效趋势</w:t>
      </w:r>
    </w:p>
    <w:p w14:paraId="71EB9181">
      <w:pPr>
        <w:pStyle w:val="32"/>
        <w:bidi w:val="0"/>
      </w:pPr>
      <w:bookmarkStart w:id="24" w:name="heading_11"/>
      <w:bookmarkStart w:id="25" w:name="_Toc19494"/>
      <w:r>
        <w:t>服务级别达成情况</w:t>
      </w:r>
      <w:bookmarkEnd w:id="24"/>
      <w:bookmarkEnd w:id="25"/>
    </w:p>
    <w:p w14:paraId="477000CD">
      <w:pPr>
        <w:pStyle w:val="30"/>
        <w:bidi w:val="0"/>
      </w:pPr>
      <w:r>
        <w:t>统计3月SLA各项指标达成情况：</w:t>
      </w:r>
    </w:p>
    <w:tbl>
      <w:tblPr>
        <w:tblStyle w:val="20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85"/>
        <w:gridCol w:w="1753"/>
        <w:gridCol w:w="1504"/>
        <w:gridCol w:w="1880"/>
      </w:tblGrid>
      <w:tr w14:paraId="1D9E600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338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F4DFC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指标</w:t>
            </w:r>
          </w:p>
        </w:tc>
        <w:tc>
          <w:tcPr>
            <w:tcW w:w="175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951BA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目标值</w:t>
            </w:r>
          </w:p>
        </w:tc>
        <w:tc>
          <w:tcPr>
            <w:tcW w:w="150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FF85D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实际值</w:t>
            </w:r>
          </w:p>
        </w:tc>
        <w:tc>
          <w:tcPr>
            <w:tcW w:w="188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F71E2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是否达标</w:t>
            </w:r>
          </w:p>
        </w:tc>
      </w:tr>
      <w:tr w14:paraId="7109647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38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76CBC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一级故障响应时间</w:t>
            </w:r>
          </w:p>
        </w:tc>
        <w:tc>
          <w:tcPr>
            <w:tcW w:w="17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01B33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≤10分钟</w:t>
            </w:r>
          </w:p>
        </w:tc>
        <w:tc>
          <w:tcPr>
            <w:tcW w:w="15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3EAFD0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—</w:t>
            </w:r>
          </w:p>
        </w:tc>
        <w:tc>
          <w:tcPr>
            <w:tcW w:w="18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1C1560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—</w:t>
            </w:r>
          </w:p>
        </w:tc>
      </w:tr>
      <w:tr w14:paraId="0D15E7A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38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92BC6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一级故障到场时间</w:t>
            </w:r>
          </w:p>
        </w:tc>
        <w:tc>
          <w:tcPr>
            <w:tcW w:w="17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ACF099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≤30分钟</w:t>
            </w:r>
          </w:p>
        </w:tc>
        <w:tc>
          <w:tcPr>
            <w:tcW w:w="15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89213E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—</w:t>
            </w:r>
          </w:p>
        </w:tc>
        <w:tc>
          <w:tcPr>
            <w:tcW w:w="18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9A5964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—</w:t>
            </w:r>
          </w:p>
        </w:tc>
      </w:tr>
      <w:tr w14:paraId="63C33B2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38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0DFCC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一级故障解决时限</w:t>
            </w:r>
          </w:p>
        </w:tc>
        <w:tc>
          <w:tcPr>
            <w:tcW w:w="17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E48AC9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≤2小时</w:t>
            </w:r>
          </w:p>
        </w:tc>
        <w:tc>
          <w:tcPr>
            <w:tcW w:w="15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0FE9E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—</w:t>
            </w:r>
          </w:p>
        </w:tc>
        <w:tc>
          <w:tcPr>
            <w:tcW w:w="18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7E26C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—</w:t>
            </w:r>
          </w:p>
        </w:tc>
      </w:tr>
      <w:tr w14:paraId="1FADB13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38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0C8D5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二级故障到场时间</w:t>
            </w:r>
          </w:p>
        </w:tc>
        <w:tc>
          <w:tcPr>
            <w:tcW w:w="17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92023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≤1小时</w:t>
            </w:r>
          </w:p>
        </w:tc>
        <w:tc>
          <w:tcPr>
            <w:tcW w:w="15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FF6FB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—</w:t>
            </w:r>
          </w:p>
        </w:tc>
        <w:tc>
          <w:tcPr>
            <w:tcW w:w="18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B8BB6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—</w:t>
            </w:r>
          </w:p>
        </w:tc>
      </w:tr>
      <w:tr w14:paraId="034399C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38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D9E152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三级故障到场时间</w:t>
            </w:r>
          </w:p>
        </w:tc>
        <w:tc>
          <w:tcPr>
            <w:tcW w:w="17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BF547E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≤4小时</w:t>
            </w:r>
          </w:p>
        </w:tc>
        <w:tc>
          <w:tcPr>
            <w:tcW w:w="15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0BB7B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—</w:t>
            </w:r>
          </w:p>
        </w:tc>
        <w:tc>
          <w:tcPr>
            <w:tcW w:w="18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A0BC5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—</w:t>
            </w:r>
          </w:p>
        </w:tc>
      </w:tr>
      <w:tr w14:paraId="68E133C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38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463C2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月度平均在线率</w:t>
            </w:r>
          </w:p>
        </w:tc>
        <w:tc>
          <w:tcPr>
            <w:tcW w:w="175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E90BC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≥98%</w:t>
            </w:r>
          </w:p>
        </w:tc>
        <w:tc>
          <w:tcPr>
            <w:tcW w:w="150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38F3C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—</w:t>
            </w:r>
          </w:p>
        </w:tc>
        <w:tc>
          <w:tcPr>
            <w:tcW w:w="18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580472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—</w:t>
            </w:r>
          </w:p>
        </w:tc>
      </w:tr>
    </w:tbl>
    <w:p w14:paraId="61EDFC1A">
      <w:pPr>
        <w:pStyle w:val="32"/>
        <w:bidi w:val="0"/>
      </w:pPr>
      <w:bookmarkStart w:id="26" w:name="heading_12"/>
      <w:bookmarkStart w:id="27" w:name="_Toc31236"/>
      <w:r>
        <w:t>备件使用情况</w:t>
      </w:r>
      <w:bookmarkEnd w:id="26"/>
      <w:bookmarkEnd w:id="27"/>
    </w:p>
    <w:p w14:paraId="5F5D2A7D">
      <w:pPr>
        <w:pStyle w:val="41"/>
        <w:numPr>
          <w:ilvl w:val="0"/>
          <w:numId w:val="8"/>
        </w:numPr>
        <w:bidi w:val="0"/>
        <w:ind w:left="425" w:leftChars="0" w:hanging="425" w:firstLineChars="0"/>
      </w:pPr>
      <w:r>
        <w:t>统计3月备件消耗情况</w:t>
      </w:r>
    </w:p>
    <w:p w14:paraId="1964C9BA">
      <w:pPr>
        <w:pStyle w:val="41"/>
        <w:numPr>
          <w:ilvl w:val="0"/>
          <w:numId w:val="8"/>
        </w:numPr>
        <w:bidi w:val="0"/>
        <w:ind w:left="425" w:leftChars="0" w:hanging="425" w:firstLineChars="0"/>
      </w:pPr>
      <w:r>
        <w:t>说明备件库存状态是否满足需求</w:t>
      </w:r>
    </w:p>
    <w:p w14:paraId="68E9B41A">
      <w:pPr>
        <w:pStyle w:val="41"/>
        <w:numPr>
          <w:ilvl w:val="0"/>
          <w:numId w:val="8"/>
        </w:numPr>
        <w:bidi w:val="0"/>
        <w:ind w:left="425" w:leftChars="0" w:hanging="425" w:firstLineChars="0"/>
      </w:pPr>
      <w:r>
        <w:t>故障备件送修及回库情况</w:t>
      </w:r>
    </w:p>
    <w:p w14:paraId="6F71D848">
      <w:pPr>
        <w:pStyle w:val="32"/>
        <w:bidi w:val="0"/>
      </w:pPr>
      <w:bookmarkStart w:id="28" w:name="heading_13"/>
      <w:bookmarkStart w:id="29" w:name="_Toc15901"/>
      <w:r>
        <w:t>信息安全与保密管理情况</w:t>
      </w:r>
      <w:bookmarkEnd w:id="28"/>
      <w:bookmarkEnd w:id="29"/>
    </w:p>
    <w:p w14:paraId="4A7DD57A">
      <w:pPr>
        <w:pStyle w:val="41"/>
        <w:numPr>
          <w:ilvl w:val="0"/>
          <w:numId w:val="9"/>
        </w:numPr>
        <w:bidi w:val="0"/>
        <w:ind w:left="425" w:leftChars="0" w:hanging="425" w:firstLineChars="0"/>
      </w:pPr>
      <w:r>
        <w:t>阐述3月信息安全保障措施落实情况</w:t>
      </w:r>
    </w:p>
    <w:p w14:paraId="5EAF72C2">
      <w:pPr>
        <w:pStyle w:val="41"/>
        <w:numPr>
          <w:ilvl w:val="0"/>
          <w:numId w:val="9"/>
        </w:numPr>
        <w:bidi w:val="0"/>
        <w:ind w:left="425" w:leftChars="0" w:hanging="425" w:firstLineChars="0"/>
      </w:pPr>
      <w:r>
        <w:t>核查是否严格遵守《公安信息网安全保密承诺书》</w:t>
      </w:r>
    </w:p>
    <w:p w14:paraId="79F4E1E2">
      <w:pPr>
        <w:pStyle w:val="41"/>
        <w:numPr>
          <w:ilvl w:val="0"/>
          <w:numId w:val="9"/>
        </w:numPr>
        <w:bidi w:val="0"/>
        <w:ind w:left="425" w:leftChars="0" w:hanging="425" w:firstLineChars="0"/>
      </w:pPr>
      <w:r>
        <w:t>是否发生信息安全事件</w:t>
      </w:r>
    </w:p>
    <w:p w14:paraId="3B064F40">
      <w:pPr>
        <w:pStyle w:val="31"/>
        <w:bidi w:val="0"/>
      </w:pPr>
      <w:bookmarkStart w:id="30" w:name="heading_14"/>
      <w:bookmarkStart w:id="31" w:name="_Toc20709"/>
      <w:r>
        <w:t>服务报告结果决策</w:t>
      </w:r>
      <w:bookmarkEnd w:id="30"/>
      <w:bookmarkEnd w:id="31"/>
    </w:p>
    <w:p w14:paraId="4B18B77E">
      <w:pPr>
        <w:pStyle w:val="41"/>
        <w:numPr>
          <w:ilvl w:val="0"/>
          <w:numId w:val="10"/>
        </w:numPr>
        <w:bidi w:val="0"/>
        <w:ind w:left="425" w:leftChars="0" w:hanging="425" w:firstLineChars="0"/>
      </w:pPr>
      <w:r>
        <w:t>总结3月运维服务的整体情况，客观评估服务质量</w:t>
      </w:r>
    </w:p>
    <w:p w14:paraId="72B49B82">
      <w:pPr>
        <w:pStyle w:val="41"/>
        <w:numPr>
          <w:ilvl w:val="0"/>
          <w:numId w:val="10"/>
        </w:numPr>
        <w:bidi w:val="0"/>
        <w:ind w:left="425" w:leftChars="0" w:hanging="425" w:firstLineChars="0"/>
      </w:pPr>
      <w:r>
        <w:t>明确工作中的优点和不足</w:t>
      </w:r>
    </w:p>
    <w:p w14:paraId="47CB1D4E">
      <w:pPr>
        <w:pStyle w:val="41"/>
        <w:numPr>
          <w:ilvl w:val="0"/>
          <w:numId w:val="10"/>
        </w:numPr>
        <w:bidi w:val="0"/>
        <w:ind w:left="425" w:leftChars="0" w:hanging="425" w:firstLineChars="0"/>
      </w:pPr>
      <w:r>
        <w:t>根据3月服务情况及项目运行需求，制定4月工作计划和改进措施</w:t>
      </w:r>
    </w:p>
    <w:p w14:paraId="0BB18273">
      <w:pPr>
        <w:pStyle w:val="29"/>
        <w:bidi w:val="0"/>
      </w:pPr>
      <w:bookmarkStart w:id="32" w:name="heading_15"/>
      <w:bookmarkStart w:id="33" w:name="_Toc25284"/>
      <w:r>
        <w:t>报告编写时间安排</w:t>
      </w:r>
      <w:bookmarkEnd w:id="32"/>
      <w:bookmarkEnd w:id="33"/>
    </w:p>
    <w:tbl>
      <w:tblPr>
        <w:tblStyle w:val="20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3"/>
        <w:gridCol w:w="7119"/>
      </w:tblGrid>
      <w:tr w14:paraId="4B2997F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0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192F7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时间</w:t>
            </w:r>
          </w:p>
        </w:tc>
        <w:tc>
          <w:tcPr>
            <w:tcW w:w="711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73E6C4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工作内容</w:t>
            </w:r>
          </w:p>
        </w:tc>
      </w:tr>
      <w:tr w14:paraId="4DF5F0D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0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103DE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4月1日-4月2日</w:t>
            </w:r>
          </w:p>
        </w:tc>
        <w:tc>
          <w:tcPr>
            <w:tcW w:w="711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53743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收集3月项目相关数据和资料，包括巡检记录、故障工单、备件出入库记录、在线率统计表等</w:t>
            </w:r>
          </w:p>
        </w:tc>
      </w:tr>
      <w:tr w14:paraId="6CAAD3D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0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503874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4月3日-4月4日</w:t>
            </w:r>
          </w:p>
        </w:tc>
        <w:tc>
          <w:tcPr>
            <w:tcW w:w="711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A5C77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对收集到的数据进行整理、核对、统计分析，完成报告初稿撰写</w:t>
            </w:r>
          </w:p>
        </w:tc>
      </w:tr>
      <w:tr w14:paraId="07568DE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0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2B5E0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4月5日</w:t>
            </w:r>
          </w:p>
        </w:tc>
        <w:tc>
          <w:tcPr>
            <w:tcW w:w="711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3BF8CE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对报告初稿进行审核、校对，重点核查数据准确性、内容完整性</w:t>
            </w:r>
          </w:p>
        </w:tc>
      </w:tr>
      <w:tr w14:paraId="1F6F83E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0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150E56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4月6日</w:t>
            </w:r>
          </w:p>
        </w:tc>
        <w:tc>
          <w:tcPr>
            <w:tcW w:w="711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CA4AF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完成报告最终定稿，提交甲方科信部门指定接口人</w:t>
            </w:r>
          </w:p>
        </w:tc>
      </w:tr>
    </w:tbl>
    <w:p w14:paraId="22720354">
      <w:pPr>
        <w:pStyle w:val="29"/>
        <w:bidi w:val="0"/>
      </w:pPr>
      <w:bookmarkStart w:id="34" w:name="heading_16"/>
      <w:bookmarkStart w:id="35" w:name="_Toc22579"/>
      <w:r>
        <w:t>报告编写责任人</w:t>
      </w:r>
      <w:bookmarkEnd w:id="34"/>
      <w:bookmarkEnd w:id="35"/>
    </w:p>
    <w:p w14:paraId="0CC977AF">
      <w:pPr>
        <w:pStyle w:val="30"/>
        <w:bidi w:val="0"/>
      </w:pPr>
      <w:r>
        <w:t>本次3月服务报告由运维项目经理程方负责编写，运维部、服务台、备件库及相关岗位人员需积极配合，按时提供所需的各类数据、记录及支撑材料，确保报告编写工作顺利推进。</w:t>
      </w:r>
    </w:p>
    <w:p w14:paraId="095A21A5">
      <w:pPr>
        <w:pStyle w:val="29"/>
        <w:bidi w:val="0"/>
      </w:pPr>
      <w:bookmarkStart w:id="36" w:name="heading_17"/>
      <w:bookmarkStart w:id="37" w:name="_Toc6578"/>
      <w:r>
        <w:t>注意事项</w:t>
      </w:r>
      <w:bookmarkEnd w:id="36"/>
      <w:bookmarkEnd w:id="37"/>
    </w:p>
    <w:p w14:paraId="493922F9">
      <w:pPr>
        <w:pStyle w:val="41"/>
        <w:numPr>
          <w:ilvl w:val="0"/>
          <w:numId w:val="11"/>
        </w:numPr>
        <w:bidi w:val="0"/>
        <w:ind w:left="425" w:leftChars="0" w:hanging="425" w:firstLineChars="0"/>
      </w:pPr>
      <w:r>
        <w:t>报告内容需真实、准确、客观，如实反映3月运维服务的实际情况，不得隐瞒设备故障问题、虚报服务数据。</w:t>
      </w:r>
    </w:p>
    <w:p w14:paraId="571A0D8F">
      <w:pPr>
        <w:pStyle w:val="41"/>
        <w:numPr>
          <w:ilvl w:val="0"/>
          <w:numId w:val="11"/>
        </w:numPr>
        <w:bidi w:val="0"/>
        <w:ind w:left="425" w:leftChars="0" w:hanging="425" w:firstLineChars="0"/>
      </w:pPr>
      <w:r>
        <w:t>数据统计需严谨规范，确保各类故障处理、巡检、备件更换数据的来源可追溯、计算逻辑清晰、前后表述一致。</w:t>
      </w:r>
    </w:p>
    <w:p w14:paraId="1602878D">
      <w:pPr>
        <w:pStyle w:val="41"/>
        <w:numPr>
          <w:ilvl w:val="0"/>
          <w:numId w:val="11"/>
        </w:numPr>
        <w:bidi w:val="0"/>
        <w:ind w:left="425" w:leftChars="0" w:hanging="425" w:firstLineChars="0"/>
      </w:pPr>
      <w:r>
        <w:t>分析部分需紧密结合合同约定的服务标准及甲方业务需求，突出针对性和实用性。</w:t>
      </w:r>
    </w:p>
    <w:p w14:paraId="4C80FB1C">
      <w:pPr>
        <w:pStyle w:val="41"/>
        <w:numPr>
          <w:ilvl w:val="0"/>
          <w:numId w:val="11"/>
        </w:numPr>
        <w:bidi w:val="0"/>
        <w:ind w:left="425" w:leftChars="0" w:hanging="425" w:firstLineChars="0"/>
      </w:pPr>
      <w:r>
        <w:t>报告格式需符合公司文档规范，结构清晰、层次分明、语言简洁明了，重点数据和核心结论可采用图表形式直观呈现。</w:t>
      </w:r>
    </w:p>
    <w:p w14:paraId="3A15A253">
      <w:pPr>
        <w:pStyle w:val="41"/>
        <w:numPr>
          <w:ilvl w:val="0"/>
          <w:numId w:val="11"/>
        </w:numPr>
        <w:bidi w:val="0"/>
        <w:ind w:left="425" w:leftChars="0" w:hanging="425" w:firstLineChars="0"/>
      </w:pPr>
      <w:r>
        <w:t>涉及甲方监控点位、设备配置、图像信息等敏感内容，需严格遵守保密协议约定，做好信息安全防护工作。</w:t>
      </w:r>
    </w:p>
    <w:p w14:paraId="6C507C44">
      <w:pPr>
        <w:pStyle w:val="30"/>
        <w:bidi w:val="0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F3EF0B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453DBC"/>
    <w:multiLevelType w:val="singleLevel"/>
    <w:tmpl w:val="84453DB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A09ECE97"/>
    <w:multiLevelType w:val="singleLevel"/>
    <w:tmpl w:val="A09ECE9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B6273A8A"/>
    <w:multiLevelType w:val="singleLevel"/>
    <w:tmpl w:val="B6273A8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BC5F0507"/>
    <w:multiLevelType w:val="singleLevel"/>
    <w:tmpl w:val="BC5F050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BEDAEC44"/>
    <w:multiLevelType w:val="singleLevel"/>
    <w:tmpl w:val="BEDAEC4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E0B1EBEB"/>
    <w:multiLevelType w:val="singleLevel"/>
    <w:tmpl w:val="E0B1EBE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E9F259F2"/>
    <w:multiLevelType w:val="singleLevel"/>
    <w:tmpl w:val="E9F259F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EF283299"/>
    <w:multiLevelType w:val="singleLevel"/>
    <w:tmpl w:val="EF28329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2C9E8311"/>
    <w:multiLevelType w:val="singleLevel"/>
    <w:tmpl w:val="2C9E831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430A7436"/>
    <w:multiLevelType w:val="singleLevel"/>
    <w:tmpl w:val="430A743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10"/>
  </w:num>
  <w:num w:numId="5">
    <w:abstractNumId w:val="5"/>
  </w:num>
  <w:num w:numId="6">
    <w:abstractNumId w:val="7"/>
  </w:num>
  <w:num w:numId="7">
    <w:abstractNumId w:val="9"/>
  </w:num>
  <w:num w:numId="8">
    <w:abstractNumId w:val="6"/>
  </w:num>
  <w:num w:numId="9">
    <w:abstractNumId w:val="4"/>
  </w:num>
  <w:num w:numId="10">
    <w:abstractNumId w:val="8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34A3564"/>
    <w:rsid w:val="062005AC"/>
    <w:rsid w:val="0BDF4C4D"/>
    <w:rsid w:val="0F7D2E84"/>
    <w:rsid w:val="1C444B9D"/>
    <w:rsid w:val="229879F0"/>
    <w:rsid w:val="23294AEC"/>
    <w:rsid w:val="257F6CB2"/>
    <w:rsid w:val="2D520A3D"/>
    <w:rsid w:val="37643EED"/>
    <w:rsid w:val="37CC1165"/>
    <w:rsid w:val="3E287A22"/>
    <w:rsid w:val="43BD0C0D"/>
    <w:rsid w:val="481728B6"/>
    <w:rsid w:val="4C3103EA"/>
    <w:rsid w:val="50DE6667"/>
    <w:rsid w:val="51BB2504"/>
    <w:rsid w:val="540A590A"/>
    <w:rsid w:val="5B4A1E8B"/>
    <w:rsid w:val="5F810C97"/>
    <w:rsid w:val="609D5BF6"/>
    <w:rsid w:val="61695AD8"/>
    <w:rsid w:val="6694767E"/>
    <w:rsid w:val="75425FCD"/>
    <w:rsid w:val="76E14125"/>
    <w:rsid w:val="776112D4"/>
    <w:rsid w:val="785B6118"/>
    <w:rsid w:val="790D7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文档修订信息"/>
    <w:basedOn w:val="1"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5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6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link w:val="46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link w:val="45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  <w:style w:type="table" w:customStyle="1" w:styleId="44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5">
    <w:name w:val="柴_正文_无缩进 Char"/>
    <w:link w:val="41"/>
    <w:qFormat/>
    <w:uiPriority w:val="0"/>
    <w:rPr>
      <w:rFonts w:ascii="Arial" w:hAnsi="Arial"/>
      <w:sz w:val="24"/>
      <w:lang w:eastAsia="zh-CN"/>
    </w:rPr>
  </w:style>
  <w:style w:type="character" w:customStyle="1" w:styleId="46">
    <w:name w:val="柴_标题2 Char"/>
    <w:link w:val="31"/>
    <w:qFormat/>
    <w:uiPriority w:val="0"/>
    <w:rPr>
      <w:rFonts w:ascii="Arial" w:hAnsi="Arial" w:eastAsia="宋体"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2521</Words>
  <Characters>2647</Characters>
  <Lines>0</Lines>
  <Paragraphs>0</Paragraphs>
  <TotalTime>0</TotalTime>
  <ScaleCrop>false</ScaleCrop>
  <LinksUpToDate>false</LinksUpToDate>
  <CharactersWithSpaces>2751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2026-04-24T21:48:29Z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