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F5AD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9888"/>
      <w:bookmarkStart w:id="1" w:name="_Toc17193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2D5DACE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20301"/>
      <w:r>
        <w:rPr>
          <w:rFonts w:hint="eastAsia"/>
          <w:lang w:val="en-US" w:eastAsia="zh-CN"/>
        </w:rPr>
        <w:t>近三年体系运行情况</w:t>
      </w:r>
      <w:bookmarkEnd w:id="2"/>
    </w:p>
    <w:p w14:paraId="68644BB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</w:t>
      </w:r>
    </w:p>
    <w:tbl>
      <w:tblPr>
        <w:tblStyle w:val="2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B3F3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83F7B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74BEFA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68444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CC90B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F3099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7EBE2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CF743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17902F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3F4D495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41B60E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32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49CE8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E78F9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458CF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26F9D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61DFA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732BC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644E0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73209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vAlign w:val="top"/>
          </w:tcPr>
          <w:p w14:paraId="461535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  <w:vAlign w:val="top"/>
          </w:tcPr>
          <w:p w14:paraId="04EC81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vAlign w:val="top"/>
          </w:tcPr>
          <w:p w14:paraId="01E516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新建</w:t>
            </w:r>
          </w:p>
        </w:tc>
        <w:tc>
          <w:tcPr>
            <w:tcW w:w="1829" w:type="dxa"/>
            <w:vAlign w:val="top"/>
          </w:tcPr>
          <w:p w14:paraId="316EC9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vAlign w:val="top"/>
          </w:tcPr>
          <w:p w14:paraId="5E7BD8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vAlign w:val="top"/>
          </w:tcPr>
          <w:p w14:paraId="1B0652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79F38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  <w:vAlign w:val="top"/>
          </w:tcPr>
          <w:p w14:paraId="5A5084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  <w:vAlign w:val="top"/>
          </w:tcPr>
          <w:p w14:paraId="5FEE36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  <w:vAlign w:val="top"/>
          </w:tcPr>
          <w:p w14:paraId="39B82B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/>
                <w:lang w:val="en-US" w:eastAsia="zh-CN"/>
              </w:rPr>
            </w:pPr>
          </w:p>
        </w:tc>
        <w:tc>
          <w:tcPr>
            <w:tcW w:w="1829" w:type="dxa"/>
            <w:shd w:val="clear" w:color="auto" w:fill="auto"/>
            <w:vAlign w:val="top"/>
          </w:tcPr>
          <w:p w14:paraId="46C569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  <w:vAlign w:val="top"/>
          </w:tcPr>
          <w:p w14:paraId="30D9A1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en-US"/>
              </w:rPr>
            </w:pPr>
          </w:p>
        </w:tc>
        <w:tc>
          <w:tcPr>
            <w:tcW w:w="915" w:type="dxa"/>
            <w:shd w:val="clear" w:color="auto" w:fill="auto"/>
            <w:vAlign w:val="top"/>
          </w:tcPr>
          <w:p w14:paraId="295643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74A0E6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4C09E23">
            <w:pPr>
              <w:pStyle w:val="3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ECB7F9D">
            <w:pPr>
              <w:pStyle w:val="3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D8BFA5">
            <w:pPr>
              <w:pStyle w:val="3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3B1E642">
            <w:pPr>
              <w:pStyle w:val="3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F9E37F6">
            <w:pPr>
              <w:pStyle w:val="3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001E3B2">
            <w:pPr>
              <w:pStyle w:val="3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90D40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85B70B8">
            <w:pPr>
              <w:pStyle w:val="3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7F63F61">
            <w:pPr>
              <w:pStyle w:val="3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F27CE9D">
            <w:pPr>
              <w:pStyle w:val="3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E73B971">
            <w:pPr>
              <w:pStyle w:val="3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0E64574">
            <w:pPr>
              <w:pStyle w:val="3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5A8C6">
            <w:pPr>
              <w:pStyle w:val="3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6831B0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B21020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103E1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_Toc29888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CAE2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近三年体系运行情况</w:t>
          </w:r>
          <w:r>
            <w:tab/>
          </w:r>
          <w:r>
            <w:fldChar w:fldCharType="begin"/>
          </w:r>
          <w:r>
            <w:instrText xml:space="preserve"> PAGEREF _Toc20301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7B52A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1. 公司概况</w:t>
          </w:r>
          <w:r>
            <w:tab/>
          </w:r>
          <w:r>
            <w:fldChar w:fldCharType="begin"/>
          </w:r>
          <w:r>
            <w:instrText xml:space="preserve"> PAGEREF _Toc1191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C34F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2. 近三年KPI数据对比</w:t>
          </w:r>
          <w:r>
            <w:tab/>
          </w:r>
          <w:r>
            <w:fldChar w:fldCharType="begin"/>
          </w:r>
          <w:r>
            <w:instrText xml:space="preserve"> PAGEREF _Toc20235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2615D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3. ITSS体系带来的发展</w:t>
          </w:r>
          <w:r>
            <w:tab/>
          </w:r>
          <w:r>
            <w:fldChar w:fldCharType="begin"/>
          </w:r>
          <w:r>
            <w:instrText xml:space="preserve"> PAGEREF _Toc17467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A385A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4. 业务发展情况</w:t>
          </w:r>
          <w:r>
            <w:tab/>
          </w:r>
          <w:r>
            <w:fldChar w:fldCharType="begin"/>
          </w:r>
          <w:r>
            <w:instrText xml:space="preserve"> PAGEREF _Toc27781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FBDED4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4.1. 业务收入持续增长</w:t>
          </w:r>
          <w:r>
            <w:tab/>
          </w:r>
          <w:r>
            <w:fldChar w:fldCharType="begin"/>
          </w:r>
          <w:r>
            <w:instrText xml:space="preserve"> PAGEREF _Toc3400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AB4226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4.2. 业务范围不断拓展</w:t>
          </w:r>
          <w:r>
            <w:tab/>
          </w:r>
          <w:r>
            <w:fldChar w:fldCharType="begin"/>
          </w:r>
          <w:r>
            <w:instrText xml:space="preserve"> PAGEREF _Toc2702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D204ED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4.3. 业务结构持续优化</w:t>
          </w:r>
          <w:r>
            <w:tab/>
          </w:r>
          <w:r>
            <w:fldChar w:fldCharType="begin"/>
          </w:r>
          <w:r>
            <w:instrText xml:space="preserve"> PAGEREF _Toc11966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DD090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 服务能力提升情况</w:t>
          </w:r>
          <w:r>
            <w:tab/>
          </w:r>
          <w:r>
            <w:fldChar w:fldCharType="begin"/>
          </w:r>
          <w:r>
            <w:instrText xml:space="preserve"> PAGEREF _Toc32276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EA0A15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 体系审核与评审成效显著</w:t>
          </w:r>
          <w:r>
            <w:tab/>
          </w:r>
          <w:r>
            <w:fldChar w:fldCharType="begin"/>
          </w:r>
          <w:r>
            <w:instrText xml:space="preserve"> PAGEREF _Toc27793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B8B7EE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5.2. 客户服务质量稳步提升</w:t>
          </w:r>
          <w:r>
            <w:tab/>
          </w:r>
          <w:r>
            <w:fldChar w:fldCharType="begin"/>
          </w:r>
          <w:r>
            <w:instrText xml:space="preserve"> PAGEREF _Toc6930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E9164A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 人员队伍建设成效突出</w:t>
          </w:r>
          <w:r>
            <w:tab/>
          </w:r>
          <w:r>
            <w:fldChar w:fldCharType="begin"/>
          </w:r>
          <w:r>
            <w:instrText xml:space="preserve"> PAGEREF _Toc13139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CBCFE7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5.4. </w:t>
          </w:r>
          <w:r>
            <w:rPr>
              <w:rFonts w:hint="default"/>
            </w:rPr>
            <w:t>资源保障能力持续强化</w:t>
          </w:r>
          <w:r>
            <w:tab/>
          </w:r>
          <w:r>
            <w:fldChar w:fldCharType="begin"/>
          </w:r>
          <w:r>
            <w:instrText xml:space="preserve"> PAGEREF _Toc2608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64857A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5.5. </w:t>
          </w:r>
          <w:r>
            <w:rPr>
              <w:rFonts w:hint="default"/>
            </w:rPr>
            <w:t>过程管理规范化水平显著提升</w:t>
          </w:r>
          <w:r>
            <w:tab/>
          </w:r>
          <w:r>
            <w:fldChar w:fldCharType="begin"/>
          </w:r>
          <w:r>
            <w:instrText xml:space="preserve"> PAGEREF _Toc17903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BCCB1E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5.6. </w:t>
          </w:r>
          <w:r>
            <w:rPr>
              <w:rFonts w:hint="default"/>
            </w:rPr>
            <w:t>技术研发与应急响应能力升级</w:t>
          </w:r>
          <w:r>
            <w:tab/>
          </w:r>
          <w:r>
            <w:fldChar w:fldCharType="begin"/>
          </w:r>
          <w:r>
            <w:instrText xml:space="preserve"> PAGEREF _Toc13345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183F11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5.7. 交付</w:t>
          </w:r>
          <w:r>
            <w:rPr>
              <w:rFonts w:hint="eastAsia"/>
              <w:lang w:eastAsia="zh-CN"/>
            </w:rPr>
            <w:t>、</w:t>
          </w:r>
          <w:r>
            <w:rPr>
              <w:rFonts w:hint="eastAsia"/>
              <w:lang w:val="en-US" w:eastAsia="zh-CN"/>
            </w:rPr>
            <w:t>应急</w:t>
          </w:r>
          <w:r>
            <w:rPr>
              <w:rFonts w:hint="default"/>
            </w:rPr>
            <w:t>管理能力持续优化</w:t>
          </w:r>
          <w:r>
            <w:tab/>
          </w:r>
          <w:r>
            <w:fldChar w:fldCharType="begin"/>
          </w:r>
          <w:r>
            <w:instrText xml:space="preserve"> PAGEREF _Toc7663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B1F11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6. 总结与改进</w:t>
          </w:r>
          <w:r>
            <w:tab/>
          </w:r>
          <w:r>
            <w:fldChar w:fldCharType="begin"/>
          </w:r>
          <w:r>
            <w:instrText xml:space="preserve"> PAGEREF _Toc14661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9F1AE8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6.1. 总结</w:t>
          </w:r>
          <w:r>
            <w:tab/>
          </w:r>
          <w:r>
            <w:fldChar w:fldCharType="begin"/>
          </w:r>
          <w:r>
            <w:instrText xml:space="preserve"> PAGEREF _Toc15151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68D805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6.2. 改进方向</w:t>
          </w:r>
          <w:r>
            <w:tab/>
          </w:r>
          <w:r>
            <w:fldChar w:fldCharType="begin"/>
          </w:r>
          <w:r>
            <w:instrText xml:space="preserve"> PAGEREF _Toc24352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99D98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7ECC36D">
      <w:r>
        <w:rPr>
          <w:rFonts w:hint="default"/>
        </w:rPr>
        <w:br w:type="page"/>
      </w:r>
    </w:p>
    <w:p w14:paraId="7F660EF0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1191"/>
      <w:r>
        <w:rPr>
          <w:rFonts w:hint="default"/>
        </w:rPr>
        <w:t>公司概况</w:t>
      </w:r>
      <w:bookmarkEnd w:id="1"/>
      <w:bookmarkEnd w:id="3"/>
    </w:p>
    <w:p w14:paraId="7485E6BF">
      <w:pPr>
        <w:pStyle w:val="3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桐乡华数广电网络有限公司（以下简称“桐乡华数”）始终坚持以智慧广电综合运营商和数字经济发展主体为转型方向，聚焦公安视频监控、应急广播、数字电视网络、社会面监控等核心运维业务，致力于为客户提供标准化、高效化、智能化的运维服务解决方案。</w:t>
      </w:r>
    </w:p>
    <w:p w14:paraId="4EB5F421">
      <w:pPr>
        <w:pStyle w:val="3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公司于2022年启动ITSS体系建设工作，2022年</w:t>
      </w:r>
      <w:r>
        <w:rPr>
          <w:rFonts w:hint="eastAsia"/>
          <w:lang w:val="en-US" w:eastAsia="zh-CN"/>
        </w:rPr>
        <w:t>6</w:t>
      </w:r>
      <w:r>
        <w:rPr>
          <w:rFonts w:hint="default"/>
        </w:rPr>
        <w:t>月正式</w:t>
      </w:r>
      <w:r>
        <w:rPr>
          <w:rFonts w:hint="eastAsia"/>
          <w:lang w:val="en-US" w:eastAsia="zh-CN"/>
        </w:rPr>
        <w:t>建立</w:t>
      </w:r>
      <w:r>
        <w:rPr>
          <w:rFonts w:hint="default"/>
        </w:rPr>
        <w:t>ITSS体系，202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>年成功获得信息技术服务运行维护标准（ITSS）三级证书。截至2025年12月，该体系已稳定运行三年。</w:t>
      </w:r>
    </w:p>
    <w:p w14:paraId="0A494B41">
      <w:pPr>
        <w:pStyle w:val="3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eastAsia"/>
          <w:lang w:val="en-US" w:eastAsia="zh-CN"/>
        </w:rPr>
        <w:t>公司自2022年建立ITSS体系以来，</w:t>
      </w:r>
      <w:r>
        <w:rPr>
          <w:rFonts w:hint="default"/>
        </w:rPr>
        <w:t>依据GB/T 28827.1-2012《信息技术服务 运行维护 第1部分：通用要求》和ITSS.1-2015《信息技术服务 运行维护服务能力成熟度模型》标准要求，持续完善运维服务管理体系。</w:t>
      </w:r>
      <w:r>
        <w:rPr>
          <w:rFonts w:hint="eastAsia"/>
          <w:lang w:val="en-US" w:eastAsia="zh-CN"/>
        </w:rPr>
        <w:t>自2025年起，公司已正式切换至GB/T 28827.1-2022《信息技术服务 运行维护第1部分：通用要求》和T/CESA 1299-2023《信息技术服务运行维护服务能力成熟度模型》的最新标准要求，确保运行维护服务体系始终与行业前沿规范同步。</w:t>
      </w:r>
      <w:r>
        <w:rPr>
          <w:rFonts w:hint="default"/>
        </w:rPr>
        <w:t>现将近三年体系运行情况总结如下：</w:t>
      </w:r>
    </w:p>
    <w:p w14:paraId="27C4DE25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" w:name="_Toc27705"/>
      <w:bookmarkStart w:id="5" w:name="_Toc20235"/>
      <w:r>
        <w:rPr>
          <w:rFonts w:hint="default"/>
        </w:rPr>
        <w:t>近三年KPI数据对比</w:t>
      </w:r>
      <w:bookmarkEnd w:id="4"/>
      <w:bookmarkEnd w:id="5"/>
    </w:p>
    <w:p w14:paraId="0FA9646D">
      <w:pPr>
        <w:pStyle w:val="35"/>
        <w:bidi w:val="0"/>
        <w:rPr>
          <w:rFonts w:hint="eastAsia"/>
          <w:lang w:val="en-US" w:eastAsia="zh-CN"/>
        </w:rPr>
      </w:pPr>
      <w:r>
        <w:rPr>
          <w:rFonts w:hint="default"/>
        </w:rPr>
        <w:t>2023年—2025年</w:t>
      </w:r>
      <w:r>
        <w:rPr>
          <w:rFonts w:hint="eastAsia"/>
          <w:lang w:val="en-US" w:eastAsia="zh-CN"/>
        </w:rPr>
        <w:t>KPI指标</w:t>
      </w:r>
      <w:r>
        <w:rPr>
          <w:rFonts w:hint="default"/>
        </w:rPr>
        <w:t>完成情况</w:t>
      </w:r>
      <w:r>
        <w:rPr>
          <w:rFonts w:hint="eastAsia"/>
          <w:lang w:val="en-US" w:eastAsia="zh-CN"/>
        </w:rPr>
        <w:t>如下：</w:t>
      </w:r>
    </w:p>
    <w:tbl>
      <w:tblPr>
        <w:tblStyle w:val="21"/>
        <w:tblW w:w="7411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1"/>
        <w:gridCol w:w="864"/>
        <w:gridCol w:w="924"/>
        <w:gridCol w:w="1056"/>
        <w:gridCol w:w="1092"/>
        <w:gridCol w:w="1014"/>
      </w:tblGrid>
      <w:tr w14:paraId="3D83C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246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99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KPI</w:t>
            </w:r>
          </w:p>
        </w:tc>
        <w:tc>
          <w:tcPr>
            <w:tcW w:w="86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4A0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目标值</w:t>
            </w:r>
          </w:p>
        </w:tc>
        <w:tc>
          <w:tcPr>
            <w:tcW w:w="92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9C4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频次</w:t>
            </w:r>
          </w:p>
        </w:tc>
        <w:tc>
          <w:tcPr>
            <w:tcW w:w="316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8E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年份</w:t>
            </w:r>
          </w:p>
        </w:tc>
      </w:tr>
      <w:tr w14:paraId="02703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39E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86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D49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2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B93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F5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2023年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4B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7A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</w:t>
            </w:r>
          </w:p>
        </w:tc>
      </w:tr>
      <w:tr w14:paraId="2D2BC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3E3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客户满意度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694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D5E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半年度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D9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92%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A4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98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98%</w:t>
            </w:r>
          </w:p>
        </w:tc>
      </w:tr>
      <w:tr w14:paraId="60502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21F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客户投诉次数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6E0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≤2次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52F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1E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1次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C6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0次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76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0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次</w:t>
            </w:r>
          </w:p>
        </w:tc>
      </w:tr>
      <w:tr w14:paraId="11345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0C4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内审次数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4BB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≥1次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199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FB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1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次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D3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1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次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02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1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次</w:t>
            </w:r>
          </w:p>
        </w:tc>
      </w:tr>
      <w:tr w14:paraId="02814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CC2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管理评审次数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4E2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≥1次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204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B4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1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次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D6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1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次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C7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1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次</w:t>
            </w:r>
          </w:p>
        </w:tc>
      </w:tr>
      <w:tr w14:paraId="604BB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9B1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储备计划完成率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60F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≥95%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D59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DE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95%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FE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DA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14EC3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E6C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培训计划完成率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372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≥95%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257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6E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95%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43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10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3171F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146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招聘计划达成率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CD2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≥95%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507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E9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95%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6E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4C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26681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28A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备份计划达成率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930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≥95%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0B9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FB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95%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40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60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3AC37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269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绩效考核合格率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16E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5F6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98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F4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</w:t>
            </w: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10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484F9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346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技能评定覆盖率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E45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≥80%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D1D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A4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04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B7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09AD8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74E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过程框架自评估次数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035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≥1次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3AC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F0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rFonts w:hint="eastAsia"/>
                <w:snapToGrid w:val="0"/>
                <w:color w:val="000000"/>
                <w:lang w:val="en-US" w:eastAsia="zh-CN" w:bidi="ar"/>
              </w:rPr>
              <w:t>-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C2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rFonts w:hint="eastAsia"/>
                <w:snapToGrid w:val="0"/>
                <w:color w:val="000000"/>
                <w:lang w:val="en-US" w:eastAsia="zh-CN" w:bidi="ar"/>
              </w:rPr>
              <w:t>-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6F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1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次</w:t>
            </w:r>
          </w:p>
        </w:tc>
      </w:tr>
      <w:tr w14:paraId="4ADD0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896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SLA达成率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66D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C9F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66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23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C4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34603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1F8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服务报告交付及时率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859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FCE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EE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20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53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1E68C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72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事件解决率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864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D0F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月度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AC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D4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B0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57BF4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B9B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事件解决用户满意度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4A2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F71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D4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AF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2C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21CE4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F0D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问题转知识的比率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A2B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473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E1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6D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CD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96%</w:t>
            </w:r>
          </w:p>
        </w:tc>
      </w:tr>
      <w:tr w14:paraId="545E9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75D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问题解决率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5CA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68E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99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64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FE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98%</w:t>
            </w:r>
          </w:p>
        </w:tc>
      </w:tr>
      <w:tr w14:paraId="1229B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F5B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配置数据的准确率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1ED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≥95%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F8F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半年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C0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FC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3E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02130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EAD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变更成功率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6B4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≥98%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8DB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月度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A5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84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63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99%</w:t>
            </w:r>
          </w:p>
        </w:tc>
      </w:tr>
      <w:tr w14:paraId="66069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0BF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发布成功率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F8F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≥98%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675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月度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32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AA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CB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492F2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5FD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服务可用率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DCF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428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月度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41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28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-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BD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659DF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C3B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服务故障中断次数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959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≤1次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9A5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月度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5A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CB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-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05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0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次</w:t>
            </w:r>
          </w:p>
        </w:tc>
      </w:tr>
      <w:tr w14:paraId="57C63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23B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容量事件数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625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≤1次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C60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AE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AB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4C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0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次</w:t>
            </w:r>
          </w:p>
        </w:tc>
      </w:tr>
      <w:tr w14:paraId="37F2B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800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信息安全事件数量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733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≤1次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1C5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87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1次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F1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0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次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07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0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次</w:t>
            </w:r>
          </w:p>
        </w:tc>
      </w:tr>
      <w:tr w14:paraId="78B0F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B1C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阶段成果达成率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970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≥80%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560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B0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23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65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2F312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129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资金使用率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AE7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≥85%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6CA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13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15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34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1B545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8B1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工具使用率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58A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≥95%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26E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0A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BD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1E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36A50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B9A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服务台派单成功率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B25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D7D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0A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eastAsia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0A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eastAsia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3A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94%</w:t>
            </w:r>
          </w:p>
        </w:tc>
      </w:tr>
      <w:tr w14:paraId="26F86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C23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备件可用率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BA3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≥95%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822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91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eastAsia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34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eastAsia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C6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100%</w:t>
            </w:r>
          </w:p>
        </w:tc>
      </w:tr>
      <w:tr w14:paraId="3E6C9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737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备件出入库准确率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9CC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≥98%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AE6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05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eastAsia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06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eastAsia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01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11B51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89B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新增知识条目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3E8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≥10条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0F7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C3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1</w:t>
            </w:r>
            <w:r>
              <w:rPr>
                <w:rStyle w:val="53"/>
                <w:rFonts w:hint="eastAsia"/>
                <w:snapToGrid w:val="0"/>
                <w:color w:val="000000"/>
                <w:lang w:val="en-US" w:eastAsia="zh-CN" w:bidi="ar"/>
              </w:rPr>
              <w:t>0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条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87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1</w:t>
            </w:r>
            <w:r>
              <w:rPr>
                <w:rStyle w:val="53"/>
                <w:rFonts w:hint="eastAsia"/>
                <w:snapToGrid w:val="0"/>
                <w:color w:val="000000"/>
                <w:lang w:val="en-US" w:eastAsia="zh-CN" w:bidi="ar"/>
              </w:rPr>
              <w:t>2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条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32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15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条</w:t>
            </w:r>
          </w:p>
        </w:tc>
      </w:tr>
      <w:tr w14:paraId="2BB6D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964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软件合规性审计次数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D48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≥1次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C4A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半年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2C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CA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A7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1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次</w:t>
            </w:r>
          </w:p>
        </w:tc>
      </w:tr>
      <w:tr w14:paraId="61D41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E63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服务数据分析利用次数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92E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≥1次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E67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24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60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CA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3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次</w:t>
            </w:r>
          </w:p>
        </w:tc>
      </w:tr>
      <w:tr w14:paraId="0EF5C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6CB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项目及时交付率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4D3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315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DC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FA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D7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100%</w:t>
            </w:r>
          </w:p>
        </w:tc>
      </w:tr>
      <w:tr w14:paraId="21172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6A6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项目应急演练次数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15F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≥1次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921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20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90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8B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3"/>
                <w:snapToGrid w:val="0"/>
                <w:color w:val="000000"/>
                <w:lang w:val="en-US" w:eastAsia="zh-CN" w:bidi="ar"/>
              </w:rPr>
              <w:t>1</w:t>
            </w:r>
            <w:r>
              <w:rPr>
                <w:rStyle w:val="54"/>
                <w:snapToGrid w:val="0"/>
                <w:color w:val="000000"/>
                <w:lang w:val="en-US" w:eastAsia="zh-CN" w:bidi="ar"/>
              </w:rPr>
              <w:t>次</w:t>
            </w:r>
          </w:p>
        </w:tc>
      </w:tr>
    </w:tbl>
    <w:p w14:paraId="7E259CAC">
      <w:pPr>
        <w:pStyle w:val="35"/>
        <w:bidi w:val="0"/>
        <w:rPr>
          <w:rFonts w:hint="default"/>
        </w:rPr>
      </w:pPr>
      <w:r>
        <w:rPr>
          <w:rFonts w:hint="default"/>
        </w:rPr>
        <w:t>数据说明：2023、2024年数据根据历史记录及年度总结报告整理，2025年数据来源于《2025年运维服务KPI指标跟踪表》及《2025年运维服务能力总结分析报告》。</w:t>
      </w:r>
    </w:p>
    <w:p w14:paraId="41378C97">
      <w:pPr>
        <w:pStyle w:val="35"/>
        <w:bidi w:val="0"/>
        <w:rPr>
          <w:rFonts w:hint="default"/>
        </w:rPr>
      </w:pPr>
      <w:r>
        <w:rPr>
          <w:rFonts w:hint="default"/>
        </w:rPr>
        <w:t>2025年起，为匹配新版ITSS标准要求（GB/T 28827.1-2022、T/CESA 1299-2023），公司新增“服务可用率”“服务故障中断次数”“容量事件数”“软件合规性审计次数”“服务数据分析利用次数”“项目及时交付率”“项目应急演练次数”七项KPI，强化了连续性、容量、合规及交付过程管理。，体系运行有效。</w:t>
      </w:r>
    </w:p>
    <w:p w14:paraId="24ECF468">
      <w:pPr>
        <w:pStyle w:val="34"/>
        <w:bidi w:val="0"/>
        <w:rPr>
          <w:rFonts w:hint="default"/>
        </w:rPr>
      </w:pPr>
      <w:bookmarkStart w:id="6" w:name="_Toc14991"/>
      <w:bookmarkStart w:id="7" w:name="_Toc17467"/>
      <w:r>
        <w:rPr>
          <w:rFonts w:hint="default"/>
        </w:rPr>
        <w:t>ITSS体系带来的发展</w:t>
      </w:r>
      <w:bookmarkEnd w:id="6"/>
      <w:bookmarkEnd w:id="7"/>
    </w:p>
    <w:p w14:paraId="74067935">
      <w:pPr>
        <w:pStyle w:val="35"/>
        <w:bidi w:val="0"/>
        <w:rPr>
          <w:rFonts w:hint="eastAsia"/>
          <w:lang w:eastAsia="zh-CN"/>
        </w:rPr>
      </w:pPr>
      <w:r>
        <w:rPr>
          <w:rFonts w:hint="default"/>
        </w:rPr>
        <w:t>通过基于ITSS运维服务能力成熟度三级要求建立的服务管理体系落地实施，桐乡华数在运维业务管理、市场竞争力、服务质量等方面实现全方位提升：</w:t>
      </w:r>
    </w:p>
    <w:p w14:paraId="71B4847A">
      <w:pPr>
        <w:pStyle w:val="35"/>
        <w:bidi w:val="0"/>
        <w:rPr>
          <w:rFonts w:hint="eastAsia"/>
          <w:lang w:eastAsia="zh-CN"/>
        </w:rPr>
      </w:pPr>
      <w:r>
        <w:rPr>
          <w:rFonts w:hint="default"/>
        </w:rPr>
        <w:t>推动运维业务规范化变革：以ITSS体系为框架，重新梳理运维业务流程，建立从人员、资源、技术到过程、交付、应急的全链条标准化管理体系，明确各部门、各岗位职责边界，实现运维服务“有章可循、有标可依”。</w:t>
      </w:r>
    </w:p>
    <w:p w14:paraId="78535E6E">
      <w:pPr>
        <w:pStyle w:val="35"/>
        <w:bidi w:val="0"/>
        <w:rPr>
          <w:rFonts w:hint="eastAsia"/>
          <w:lang w:eastAsia="zh-CN"/>
        </w:rPr>
      </w:pPr>
      <w:r>
        <w:rPr>
          <w:rFonts w:hint="default"/>
        </w:rPr>
        <w:t>实现运维收入稳步增长：ITSS认证为市场拓展提供有力支撑。近三年运维业务收入持续增长：2023年约1,800万元，2024年约2,050万元，2025年达到2,200万元（经济目标2,000万元，超额完成），年均增长率约10.5%。</w:t>
      </w:r>
    </w:p>
    <w:p w14:paraId="32F02911">
      <w:pPr>
        <w:pStyle w:val="35"/>
        <w:bidi w:val="0"/>
        <w:rPr>
          <w:rFonts w:hint="eastAsia"/>
          <w:lang w:eastAsia="zh-CN"/>
        </w:rPr>
      </w:pPr>
      <w:r>
        <w:rPr>
          <w:rFonts w:hint="default"/>
        </w:rPr>
        <w:t>提升行业品牌知名度：通过ITSS体系认证，公司在桐乡及周边地区的运维服务专业度得到客户高度认可，客户信任度显著提升，助力公司成功中标多项公安视频监控、智慧安防项目。</w:t>
      </w:r>
    </w:p>
    <w:p w14:paraId="7DFC0DED">
      <w:pPr>
        <w:pStyle w:val="35"/>
        <w:bidi w:val="0"/>
        <w:rPr>
          <w:rFonts w:hint="default"/>
        </w:rPr>
      </w:pPr>
      <w:r>
        <w:rPr>
          <w:rFonts w:hint="default"/>
        </w:rPr>
        <w:t>显著提高运维服务效率：借助流程化、量化管理，</w:t>
      </w:r>
      <w:r>
        <w:rPr>
          <w:rFonts w:hint="eastAsia"/>
          <w:lang w:val="en-US" w:eastAsia="zh-CN"/>
        </w:rPr>
        <w:t>事件解决率从2023年的95%提升到2025年的100%，事件解决用户满意度从2023年的90%提升到2025年度的100%</w:t>
      </w:r>
      <w:r>
        <w:rPr>
          <w:rFonts w:hint="default"/>
        </w:rPr>
        <w:t>；服务台</w:t>
      </w:r>
      <w:r>
        <w:rPr>
          <w:rFonts w:hint="eastAsia"/>
          <w:lang w:val="en-US" w:eastAsia="zh-CN"/>
        </w:rPr>
        <w:t>派单成功率从2023年的90%增长到94%</w:t>
      </w:r>
      <w:r>
        <w:rPr>
          <w:rFonts w:hint="default"/>
        </w:rPr>
        <w:t>。</w:t>
      </w:r>
    </w:p>
    <w:p w14:paraId="170469DE">
      <w:pPr>
        <w:pStyle w:val="35"/>
        <w:bidi w:val="0"/>
        <w:rPr>
          <w:rFonts w:hint="eastAsia"/>
          <w:lang w:eastAsia="zh-CN"/>
        </w:rPr>
      </w:pPr>
      <w:r>
        <w:rPr>
          <w:rFonts w:hint="default"/>
        </w:rPr>
        <w:t>有效降低运维服务成本：通过优化备品备件库存管理、运维工具统一部署，备件</w:t>
      </w:r>
      <w:r>
        <w:rPr>
          <w:rFonts w:hint="eastAsia"/>
          <w:lang w:val="en-US" w:eastAsia="zh-CN"/>
        </w:rPr>
        <w:t>可用率</w:t>
      </w:r>
      <w:r>
        <w:rPr>
          <w:rFonts w:hint="default"/>
        </w:rPr>
        <w:t>提升至100%，</w:t>
      </w:r>
      <w:r>
        <w:rPr>
          <w:rFonts w:hint="eastAsia"/>
          <w:lang w:val="en-US" w:eastAsia="zh-CN"/>
        </w:rPr>
        <w:t>备件出入库准确率提升至100%</w:t>
      </w:r>
      <w:r>
        <w:rPr>
          <w:rFonts w:hint="default"/>
        </w:rPr>
        <w:t>，运维工具使用率达100%。</w:t>
      </w:r>
    </w:p>
    <w:p w14:paraId="78D2719A">
      <w:pPr>
        <w:pStyle w:val="35"/>
        <w:bidi w:val="0"/>
        <w:rPr>
          <w:rFonts w:hint="eastAsia"/>
          <w:lang w:eastAsia="zh-CN"/>
        </w:rPr>
      </w:pPr>
      <w:r>
        <w:rPr>
          <w:rFonts w:hint="default"/>
        </w:rPr>
        <w:t>激发企业创新活力：研发并迭代了</w:t>
      </w:r>
      <w:r>
        <w:rPr>
          <w:rFonts w:hint="eastAsia"/>
          <w:lang w:val="en-US" w:eastAsia="zh-CN"/>
        </w:rPr>
        <w:t>华数-服务价值台</w:t>
      </w:r>
      <w:r>
        <w:rPr>
          <w:rFonts w:hint="default"/>
        </w:rPr>
        <w:t>，完成了3部运维技术手册的编制，累计研发投入</w:t>
      </w:r>
      <w:r>
        <w:rPr>
          <w:rFonts w:hint="eastAsia"/>
          <w:lang w:val="en-US" w:eastAsia="zh-CN"/>
        </w:rPr>
        <w:t>103</w:t>
      </w:r>
      <w:r>
        <w:rPr>
          <w:rFonts w:hint="default"/>
        </w:rPr>
        <w:t>万元，研发成果已应用于多个运维项目。</w:t>
      </w:r>
    </w:p>
    <w:p w14:paraId="33C49A8D">
      <w:pPr>
        <w:pStyle w:val="34"/>
        <w:bidi w:val="0"/>
        <w:rPr>
          <w:rFonts w:hint="default"/>
        </w:rPr>
      </w:pPr>
      <w:bookmarkStart w:id="8" w:name="_Toc27781"/>
      <w:bookmarkStart w:id="9" w:name="_Toc6126"/>
      <w:r>
        <w:rPr>
          <w:rFonts w:hint="default"/>
        </w:rPr>
        <w:t>业务发展情况</w:t>
      </w:r>
      <w:bookmarkEnd w:id="8"/>
      <w:bookmarkEnd w:id="9"/>
    </w:p>
    <w:p w14:paraId="7AA3A06B">
      <w:pPr>
        <w:pStyle w:val="35"/>
        <w:bidi w:val="0"/>
        <w:rPr>
          <w:rFonts w:hint="default"/>
        </w:rPr>
      </w:pPr>
      <w:r>
        <w:rPr>
          <w:rFonts w:hint="default"/>
        </w:rPr>
        <w:t>自2023年ITSS体系启动运行以来，公司运维业务实现跨越式发展：</w:t>
      </w:r>
    </w:p>
    <w:p w14:paraId="5969657C">
      <w:pPr>
        <w:pStyle w:val="36"/>
        <w:bidi w:val="0"/>
        <w:rPr>
          <w:rFonts w:hint="default"/>
        </w:rPr>
      </w:pPr>
      <w:bookmarkStart w:id="10" w:name="_Toc30683"/>
      <w:bookmarkStart w:id="11" w:name="_Toc3400"/>
      <w:r>
        <w:rPr>
          <w:rFonts w:hint="default"/>
        </w:rPr>
        <w:t>业务收入持续增长</w:t>
      </w:r>
      <w:bookmarkEnd w:id="10"/>
      <w:bookmarkEnd w:id="11"/>
    </w:p>
    <w:tbl>
      <w:tblPr>
        <w:tblStyle w:val="21"/>
        <w:tblW w:w="852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5"/>
        <w:gridCol w:w="2550"/>
        <w:gridCol w:w="2550"/>
        <w:gridCol w:w="1833"/>
      </w:tblGrid>
      <w:tr w14:paraId="6AA77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229E6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统计内容</w:t>
            </w:r>
          </w:p>
        </w:tc>
        <w:tc>
          <w:tcPr>
            <w:tcW w:w="25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15D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2023年</w:t>
            </w:r>
          </w:p>
        </w:tc>
        <w:tc>
          <w:tcPr>
            <w:tcW w:w="25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86C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2024年</w:t>
            </w:r>
          </w:p>
        </w:tc>
        <w:tc>
          <w:tcPr>
            <w:tcW w:w="18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FE5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2025年</w:t>
            </w:r>
          </w:p>
        </w:tc>
      </w:tr>
      <w:tr w14:paraId="16C40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D5CA9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运维营收</w:t>
            </w:r>
          </w:p>
        </w:tc>
        <w:tc>
          <w:tcPr>
            <w:tcW w:w="25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343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约1,800万元</w:t>
            </w:r>
          </w:p>
        </w:tc>
        <w:tc>
          <w:tcPr>
            <w:tcW w:w="25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73C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约2,050万元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D3F0C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2,200万元</w:t>
            </w:r>
          </w:p>
        </w:tc>
      </w:tr>
    </w:tbl>
    <w:p w14:paraId="53F25C86">
      <w:pPr>
        <w:pStyle w:val="35"/>
        <w:bidi w:val="0"/>
        <w:rPr>
          <w:rFonts w:hint="default"/>
        </w:rPr>
      </w:pPr>
      <w:r>
        <w:rPr>
          <w:rFonts w:hint="default"/>
        </w:rPr>
        <w:t>三年间运维营收年均增长率达10.5%，2025年较2023年增长22.2%。</w:t>
      </w:r>
    </w:p>
    <w:p w14:paraId="168E8B10">
      <w:pPr>
        <w:pStyle w:val="36"/>
        <w:bidi w:val="0"/>
        <w:rPr>
          <w:rFonts w:hint="default"/>
        </w:rPr>
      </w:pPr>
      <w:bookmarkStart w:id="12" w:name="_Toc2702"/>
      <w:bookmarkStart w:id="13" w:name="_Toc15466"/>
      <w:r>
        <w:rPr>
          <w:rFonts w:hint="default"/>
        </w:rPr>
        <w:t>业务范围不断拓展</w:t>
      </w:r>
      <w:bookmarkEnd w:id="12"/>
      <w:bookmarkEnd w:id="13"/>
    </w:p>
    <w:p w14:paraId="220B725D">
      <w:pPr>
        <w:pStyle w:val="35"/>
        <w:bidi w:val="0"/>
        <w:rPr>
          <w:rFonts w:hint="default"/>
        </w:rPr>
      </w:pPr>
      <w:r>
        <w:rPr>
          <w:rFonts w:hint="default"/>
        </w:rPr>
        <w:t>2023年业务主要集中于桐乡市内及周边乡镇；2024年拓展至嘉兴市其他区县；2025年成功承接多个市级公安视频监控项目，业务覆盖范围持续扩大。</w:t>
      </w:r>
    </w:p>
    <w:p w14:paraId="1EE896EC">
      <w:pPr>
        <w:pStyle w:val="36"/>
        <w:bidi w:val="0"/>
        <w:rPr>
          <w:rFonts w:hint="default"/>
        </w:rPr>
      </w:pPr>
      <w:bookmarkStart w:id="14" w:name="_Toc11966"/>
      <w:bookmarkStart w:id="15" w:name="_Toc7273"/>
      <w:r>
        <w:rPr>
          <w:rFonts w:hint="default"/>
        </w:rPr>
        <w:t>业务结构持续优化</w:t>
      </w:r>
      <w:bookmarkEnd w:id="14"/>
      <w:bookmarkEnd w:id="15"/>
    </w:p>
    <w:p w14:paraId="3F08FAE0">
      <w:pPr>
        <w:pStyle w:val="35"/>
        <w:bidi w:val="0"/>
        <w:rPr>
          <w:rFonts w:hint="default" w:ascii="Arial" w:hAnsi="Arial" w:eastAsia="宋体" w:cs="Arial"/>
          <w:snapToGrid w:val="0"/>
          <w:color w:val="000000"/>
          <w:kern w:val="0"/>
          <w:sz w:val="24"/>
          <w:szCs w:val="21"/>
          <w:lang w:val="en-US" w:eastAsia="zh-CN" w:bidi="ar-SA"/>
        </w:rPr>
      </w:pPr>
      <w:r>
        <w:rPr>
          <w:rFonts w:hint="default" w:ascii="Arial" w:hAnsi="Arial" w:eastAsia="宋体" w:cs="Arial"/>
          <w:snapToGrid w:val="0"/>
          <w:color w:val="000000"/>
          <w:kern w:val="0"/>
          <w:sz w:val="24"/>
          <w:szCs w:val="21"/>
          <w:lang w:val="en-US" w:eastAsia="zh-CN" w:bidi="ar-SA"/>
        </w:rPr>
        <w:t>在原有公安视频监控、数字电视网络运维基础上，新增应急广播运维、社会面监控、智能安</w:t>
      </w:r>
      <w:r>
        <w:rPr>
          <w:rFonts w:hint="default"/>
        </w:rPr>
        <w:t>防平台运维等业务，业务结构从单一运维向“基础运维+智慧化服务”多元化方向</w:t>
      </w:r>
      <w:r>
        <w:rPr>
          <w:rFonts w:hint="default" w:ascii="Arial" w:hAnsi="Arial" w:eastAsia="宋体" w:cs="Arial"/>
          <w:snapToGrid w:val="0"/>
          <w:color w:val="000000"/>
          <w:kern w:val="0"/>
          <w:sz w:val="24"/>
          <w:szCs w:val="21"/>
          <w:lang w:val="en-US" w:eastAsia="zh-CN" w:bidi="ar-SA"/>
        </w:rPr>
        <w:t>发展。</w:t>
      </w:r>
    </w:p>
    <w:p w14:paraId="5A94B473">
      <w:pPr>
        <w:pStyle w:val="34"/>
        <w:bidi w:val="0"/>
        <w:rPr>
          <w:rFonts w:hint="default"/>
        </w:rPr>
      </w:pPr>
      <w:bookmarkStart w:id="16" w:name="_Toc9049"/>
      <w:bookmarkStart w:id="17" w:name="_Toc32276"/>
      <w:r>
        <w:rPr>
          <w:rFonts w:hint="default"/>
        </w:rPr>
        <w:t>服务能力提升情况</w:t>
      </w:r>
      <w:bookmarkEnd w:id="16"/>
      <w:bookmarkEnd w:id="17"/>
    </w:p>
    <w:p w14:paraId="174F2726">
      <w:pPr>
        <w:pStyle w:val="36"/>
        <w:bidi w:val="0"/>
        <w:rPr>
          <w:rFonts w:hint="default"/>
        </w:rPr>
      </w:pPr>
      <w:bookmarkStart w:id="18" w:name="_Toc18926"/>
      <w:bookmarkStart w:id="19" w:name="_Toc27793"/>
      <w:r>
        <w:rPr>
          <w:rFonts w:hint="default"/>
        </w:rPr>
        <w:t>体系审核与评审成效显著</w:t>
      </w:r>
      <w:bookmarkEnd w:id="18"/>
      <w:bookmarkEnd w:id="19"/>
    </w:p>
    <w:p w14:paraId="47B5E05E">
      <w:pPr>
        <w:pStyle w:val="35"/>
        <w:bidi w:val="0"/>
        <w:rPr>
          <w:rFonts w:hint="default"/>
        </w:rPr>
      </w:pPr>
      <w:r>
        <w:rPr>
          <w:rFonts w:hint="default" w:ascii="Arial" w:hAnsi="Arial" w:eastAsia="宋体" w:cs="Arial"/>
          <w:snapToGrid w:val="0"/>
          <w:color w:val="000000"/>
          <w:kern w:val="0"/>
          <w:sz w:val="24"/>
          <w:szCs w:val="21"/>
          <w:lang w:val="en-US" w:eastAsia="zh-CN" w:bidi="ar-SA"/>
        </w:rPr>
        <w:t>每年定期组织内部审核与管理评审，近三年内审发现的不符合项均100%关闭，管理评审提</w:t>
      </w:r>
      <w:r>
        <w:rPr>
          <w:rFonts w:hint="default"/>
        </w:rPr>
        <w:t>出的改进措施全部落地。2025年12月完成内部审核，发现</w:t>
      </w:r>
      <w:r>
        <w:rPr>
          <w:rFonts w:hint="eastAsia"/>
          <w:lang w:val="en-US" w:eastAsia="zh-CN"/>
        </w:rPr>
        <w:t>1项不符合</w:t>
      </w:r>
      <w:r>
        <w:rPr>
          <w:rFonts w:hint="default"/>
        </w:rPr>
        <w:t>，责任部门已于2025年12月</w:t>
      </w:r>
      <w:r>
        <w:rPr>
          <w:rFonts w:hint="eastAsia"/>
          <w:lang w:val="en-US" w:eastAsia="zh-CN"/>
        </w:rPr>
        <w:t>16</w:t>
      </w:r>
      <w:r>
        <w:rPr>
          <w:rFonts w:hint="default"/>
        </w:rPr>
        <w:t>日完成整改闭环。同月召开管理评审，评价体系运行有效。</w:t>
      </w:r>
    </w:p>
    <w:p w14:paraId="1530CEE4">
      <w:pPr>
        <w:pStyle w:val="36"/>
        <w:bidi w:val="0"/>
        <w:rPr>
          <w:rFonts w:hint="default"/>
        </w:rPr>
      </w:pPr>
      <w:bookmarkStart w:id="20" w:name="_Toc21360"/>
      <w:bookmarkStart w:id="21" w:name="_Toc6930"/>
      <w:r>
        <w:rPr>
          <w:rFonts w:hint="default"/>
        </w:rPr>
        <w:t>客户服务质量稳步提升</w:t>
      </w:r>
      <w:bookmarkEnd w:id="20"/>
      <w:bookmarkEnd w:id="21"/>
    </w:p>
    <w:p w14:paraId="2CE86750">
      <w:pPr>
        <w:pStyle w:val="35"/>
        <w:bidi w:val="0"/>
        <w:rPr>
          <w:rFonts w:hint="default"/>
        </w:rPr>
      </w:pPr>
      <w:r>
        <w:rPr>
          <w:rFonts w:hint="default"/>
        </w:rPr>
        <w:t>客户满意度从2023年的9</w:t>
      </w:r>
      <w:r>
        <w:rPr>
          <w:rFonts w:hint="eastAsia"/>
          <w:lang w:val="en-US" w:eastAsia="zh-CN"/>
        </w:rPr>
        <w:t>2%</w:t>
      </w:r>
      <w:r>
        <w:rPr>
          <w:rFonts w:hint="default"/>
        </w:rPr>
        <w:t>提升至2025年的</w:t>
      </w:r>
      <w:r>
        <w:rPr>
          <w:rFonts w:hint="eastAsia"/>
          <w:lang w:val="en-US" w:eastAsia="zh-CN"/>
        </w:rPr>
        <w:t>98%</w:t>
      </w:r>
      <w:r>
        <w:rPr>
          <w:rFonts w:hint="default"/>
        </w:rPr>
        <w:t>，客户有效投诉从2023年的1次降至2025年的0次。客户满意度调查覆盖全部主要客户，反馈良好。</w:t>
      </w:r>
    </w:p>
    <w:p w14:paraId="64EE74B0">
      <w:pPr>
        <w:pStyle w:val="36"/>
        <w:bidi w:val="0"/>
        <w:rPr>
          <w:rFonts w:hint="default"/>
        </w:rPr>
      </w:pPr>
      <w:bookmarkStart w:id="22" w:name="_Toc13139"/>
      <w:bookmarkStart w:id="23" w:name="_Toc28890"/>
      <w:r>
        <w:rPr>
          <w:rFonts w:hint="default"/>
        </w:rPr>
        <w:t>人员队伍建设成效突出</w:t>
      </w:r>
      <w:bookmarkEnd w:id="22"/>
      <w:bookmarkEnd w:id="23"/>
    </w:p>
    <w:p w14:paraId="4BD7AF37">
      <w:pPr>
        <w:pStyle w:val="35"/>
        <w:rPr>
          <w:rFonts w:hint="default"/>
        </w:rPr>
      </w:pPr>
      <w:r>
        <w:rPr>
          <w:rFonts w:hint="default"/>
        </w:rPr>
        <w:t>近三年，公司在人员招聘、储备、培训、考核及技能评定等人员管理方面持续完善，各项KPI指标均呈现稳步提升态势：</w:t>
      </w:r>
    </w:p>
    <w:p w14:paraId="4BA1D250">
      <w:pPr>
        <w:pStyle w:val="35"/>
        <w:rPr>
          <w:rFonts w:hint="default"/>
        </w:rPr>
      </w:pPr>
      <w:r>
        <w:rPr>
          <w:rFonts w:hint="default"/>
        </w:rPr>
        <w:t>储备计划完成率：从2023年的95%提升至2024年的98%，2025年达到100%。连续三年达成≥95%的考核目标，关键岗位AB角备份覆盖率达100%，人员梯队建设成效显著。</w:t>
      </w:r>
    </w:p>
    <w:p w14:paraId="5234728F">
      <w:pPr>
        <w:pStyle w:val="35"/>
        <w:rPr>
          <w:rFonts w:hint="default"/>
        </w:rPr>
      </w:pPr>
      <w:r>
        <w:rPr>
          <w:rFonts w:hint="default"/>
        </w:rPr>
        <w:t>培训计划完成率：从2023年的95%提升至2024年的98%，2025年达到100%。各季度均稳定达成考核目标，2025年全年组织培训13场，培训出勤率平均100%，员工专业能力持续提升。</w:t>
      </w:r>
    </w:p>
    <w:p w14:paraId="1423AD6A">
      <w:pPr>
        <w:pStyle w:val="35"/>
        <w:rPr>
          <w:rFonts w:hint="default"/>
        </w:rPr>
      </w:pPr>
      <w:r>
        <w:rPr>
          <w:rFonts w:hint="default"/>
        </w:rPr>
        <w:t>招聘计划达成率：从2023年的95%提升至2024年的100%，2025年继续保持100%。连续两年实现招聘计划全额达成，有效保障了运维业务的用人需求。</w:t>
      </w:r>
    </w:p>
    <w:p w14:paraId="76FE8300">
      <w:pPr>
        <w:pStyle w:val="35"/>
        <w:rPr>
          <w:rFonts w:hint="default"/>
        </w:rPr>
      </w:pPr>
      <w:r>
        <w:rPr>
          <w:rFonts w:hint="default"/>
        </w:rPr>
        <w:t>备份计划达成率：从2023年的95%提升至2024年的100%，2025年继续保持100%。关键岗位人员备份机制运行有效，降低了人员流动对运维服务的影响。</w:t>
      </w:r>
    </w:p>
    <w:p w14:paraId="6AFF6F7C">
      <w:pPr>
        <w:pStyle w:val="35"/>
        <w:rPr>
          <w:rFonts w:hint="default"/>
        </w:rPr>
      </w:pPr>
      <w:r>
        <w:rPr>
          <w:rFonts w:hint="default"/>
        </w:rPr>
        <w:t>绩效考核合格率：从2023年的90%提升至2024年的95%，2025年达到100%。连续三年达成≥90%的考核目标，员工绩效表现持续优化，团队整体效能稳步提升。</w:t>
      </w:r>
    </w:p>
    <w:p w14:paraId="435E5F8A">
      <w:pPr>
        <w:pStyle w:val="35"/>
        <w:rPr>
          <w:rFonts w:hint="default"/>
        </w:rPr>
      </w:pPr>
      <w:r>
        <w:rPr>
          <w:rFonts w:hint="default"/>
        </w:rPr>
        <w:t>技能评定覆盖率：连续三年保持100%，持续达成≥80%的考核目标。2025年12月底完成了一次技能评定，覆盖全部运维相关人员，为人员能力识别与培养提供了有效依据。</w:t>
      </w:r>
    </w:p>
    <w:p w14:paraId="30D74CB8">
      <w:pPr>
        <w:pStyle w:val="36"/>
        <w:bidi w:val="0"/>
        <w:rPr>
          <w:rFonts w:hint="eastAsia"/>
          <w:lang w:eastAsia="zh-CN"/>
        </w:rPr>
      </w:pPr>
      <w:bookmarkStart w:id="24" w:name="_Toc5569"/>
      <w:bookmarkStart w:id="25" w:name="_Toc2608"/>
      <w:r>
        <w:rPr>
          <w:rFonts w:hint="default"/>
        </w:rPr>
        <w:t>资源保障能力持续强化</w:t>
      </w:r>
      <w:bookmarkEnd w:id="24"/>
      <w:bookmarkEnd w:id="25"/>
    </w:p>
    <w:p w14:paraId="0A6F2CEA">
      <w:pPr>
        <w:pStyle w:val="3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近三年，公司在服务台、</w:t>
      </w:r>
      <w:r>
        <w:rPr>
          <w:rFonts w:hint="eastAsia"/>
          <w:lang w:val="en-US" w:eastAsia="zh-CN"/>
        </w:rPr>
        <w:t>服务知识</w:t>
      </w:r>
      <w:r>
        <w:rPr>
          <w:rFonts w:hint="eastAsia"/>
          <w:lang w:eastAsia="zh-CN"/>
        </w:rPr>
        <w:t>、备品备件、运维工具及数据管理等资源保障方面持续优化，各项KPI指标均呈现稳步提升态势：</w:t>
      </w:r>
    </w:p>
    <w:p w14:paraId="6B978CA4">
      <w:pPr>
        <w:pStyle w:val="3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服务台派单成功率：从2023年的90%提升至2024年的92%，2025年达到94%，年均提升2个百分点。各季度均稳定达成≥90%的考核目标，派单准确性与团队协同效率持续改善。</w:t>
      </w:r>
    </w:p>
    <w:p w14:paraId="1112D148">
      <w:pPr>
        <w:pStyle w:val="3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知识库建设：新增知识条目从2023年的40条（年均10条/季度）增长至2024年的50条（年均12.5条/季度），2025年达到60条（年均15条/季度），三年累计新增150条，各季度均超额完成≥10条的考核目标，知识积累呈现加速增长态势。</w:t>
      </w:r>
    </w:p>
    <w:p w14:paraId="2080B8A2">
      <w:pPr>
        <w:pStyle w:val="3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备品备件管理：备件可用率从2023年的96%提升至2024年的98%，2025年达到100%；备件出入库准确率从2023年的98%提升至2024年的99%，2025年达到100%。两项指标连续三年达成并超越考核目标，有效支撑了运维服务响应效率。</w:t>
      </w:r>
    </w:p>
    <w:p w14:paraId="7B473D26">
      <w:pPr>
        <w:pStyle w:val="3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运维工具应用：工具使用率连续三年保持95%及以上，2023年、2024年均为95%，2025年提升至100%。运维工具已全面覆盖过程管理、监控管理、知识管理等核心场景，实现了“监、管、控、析”一体化运维体系。</w:t>
      </w:r>
    </w:p>
    <w:p w14:paraId="1A49AC51">
      <w:pPr>
        <w:pStyle w:val="3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新增资源管理指标（2025年）：自2025年起，依据新版GB/T 28827.1-2022和T/CESA 1299-2023标准要求，公司新增“软件合规性审计次数”和“服务数据分析利用次数”两项指标。2025年完成软件合规性审计1次（每半年不少于1次），完成服务数据分析利用3次（每季度不少于1次），均达成考核目标，标志着资源管理从基础保障向合规治理与数据驱动方向深化。</w:t>
      </w:r>
    </w:p>
    <w:p w14:paraId="046A8119">
      <w:pPr>
        <w:pStyle w:val="36"/>
        <w:bidi w:val="0"/>
        <w:rPr>
          <w:rFonts w:hint="eastAsia"/>
          <w:lang w:eastAsia="zh-CN"/>
        </w:rPr>
      </w:pPr>
      <w:bookmarkStart w:id="26" w:name="_Toc28360"/>
      <w:bookmarkStart w:id="27" w:name="_Toc17903"/>
      <w:r>
        <w:rPr>
          <w:rFonts w:hint="default"/>
        </w:rPr>
        <w:t>过程管理规范化水平显著提升</w:t>
      </w:r>
      <w:bookmarkEnd w:id="26"/>
      <w:bookmarkEnd w:id="27"/>
    </w:p>
    <w:p w14:paraId="2CB5B495">
      <w:pPr>
        <w:pStyle w:val="35"/>
        <w:rPr>
          <w:rFonts w:hint="eastAsia"/>
          <w:lang w:eastAsia="zh-CN"/>
        </w:rPr>
      </w:pPr>
      <w:r>
        <w:rPr>
          <w:rFonts w:hint="eastAsia"/>
          <w:lang w:eastAsia="zh-CN"/>
        </w:rPr>
        <w:t>近三年，公司在服务级别、事件、问题、配置、变更、发布、容量与连续性等过程管理方面持续优化，各项KPI指标均呈现稳步提升态势：</w:t>
      </w:r>
    </w:p>
    <w:p w14:paraId="6CD9F707">
      <w:pPr>
        <w:pStyle w:val="35"/>
        <w:rPr>
          <w:rFonts w:hint="eastAsia"/>
          <w:lang w:eastAsia="zh-CN"/>
        </w:rPr>
      </w:pPr>
      <w:r>
        <w:rPr>
          <w:rFonts w:hint="eastAsia"/>
          <w:lang w:eastAsia="zh-CN"/>
        </w:rPr>
        <w:t>过程框架自评估：自2025年起，依据新版标准要求新增该项指标，2025年完成过程框架自评估1次，达成年度考核目标（≥1次），为体系持续改进提供了方向依据。</w:t>
      </w:r>
    </w:p>
    <w:p w14:paraId="5253F6FC">
      <w:pPr>
        <w:pStyle w:val="35"/>
        <w:rPr>
          <w:rFonts w:hint="eastAsia"/>
          <w:lang w:eastAsia="zh-CN"/>
        </w:rPr>
      </w:pPr>
      <w:r>
        <w:rPr>
          <w:rFonts w:hint="eastAsia"/>
          <w:lang w:eastAsia="zh-CN"/>
        </w:rPr>
        <w:t>服务级别管理：SLA达成率从2023年的90%提升至2024年的95%，2025年达到100%。服务报告交付及时率同步从90%提升至95%，2025年达到100%。两项指标连续三年达成考核目标，服务承诺兑现能力持续增强。</w:t>
      </w:r>
    </w:p>
    <w:p w14:paraId="39DC6C30">
      <w:pPr>
        <w:pStyle w:val="35"/>
        <w:rPr>
          <w:rFonts w:hint="eastAsia"/>
          <w:lang w:eastAsia="zh-CN"/>
        </w:rPr>
      </w:pPr>
      <w:r>
        <w:rPr>
          <w:rFonts w:hint="eastAsia"/>
          <w:lang w:eastAsia="zh-CN"/>
        </w:rPr>
        <w:t>事件管理：事件解决率从2023年的95%提升至2024年的98%，2025年达到100%；事件解决用户满意度从2023年的90%提升至2024年的95%，2025年达到100%。两项指标均持续达成并超越考核目标（≥90%），事件响应与处理质量显著提升。</w:t>
      </w:r>
    </w:p>
    <w:p w14:paraId="26529E3E">
      <w:pPr>
        <w:pStyle w:val="35"/>
        <w:rPr>
          <w:rFonts w:hint="eastAsia"/>
          <w:lang w:eastAsia="zh-CN"/>
        </w:rPr>
      </w:pPr>
      <w:r>
        <w:rPr>
          <w:rFonts w:hint="eastAsia"/>
          <w:lang w:eastAsia="zh-CN"/>
        </w:rPr>
        <w:t>问题管理：问题解决率从2023年的90%提升至2024年的95%，2025年达到98%；问题转知识比率从2023年的90%提升至2024年的92%，2025年达到96%。两项指标连续三年稳步增长，问题根源分析与知识沉淀能力持续增强，同类问题重复发生次数下降30%。</w:t>
      </w:r>
    </w:p>
    <w:p w14:paraId="4AB4FD48">
      <w:pPr>
        <w:pStyle w:val="35"/>
        <w:rPr>
          <w:rFonts w:hint="eastAsia"/>
          <w:lang w:eastAsia="zh-CN"/>
        </w:rPr>
      </w:pPr>
      <w:r>
        <w:rPr>
          <w:rFonts w:hint="eastAsia"/>
          <w:lang w:eastAsia="zh-CN"/>
        </w:rPr>
        <w:t>配置管理：配置数据的准确率2023年、2024年均为95%，2025年提升至100%。配置审计定期开展，配置项管理规范性显著提升。</w:t>
      </w:r>
    </w:p>
    <w:p w14:paraId="1D8558CB">
      <w:pPr>
        <w:pStyle w:val="35"/>
        <w:rPr>
          <w:rFonts w:hint="eastAsia"/>
          <w:lang w:eastAsia="zh-CN"/>
        </w:rPr>
      </w:pPr>
      <w:r>
        <w:rPr>
          <w:rFonts w:hint="eastAsia"/>
          <w:lang w:eastAsia="zh-CN"/>
        </w:rPr>
        <w:t>变更与发布管理：变更成功率从2023年的98%提升至2025年的99%；发布成功率连续三年保持100%。两项指标均持续达成考核目标（变更成功率≥98%，发布成功率≥98%），变更与发布管控规范有效。</w:t>
      </w:r>
    </w:p>
    <w:p w14:paraId="34E6CD56">
      <w:pPr>
        <w:pStyle w:val="35"/>
        <w:rPr>
          <w:rFonts w:hint="eastAsia"/>
          <w:lang w:eastAsia="zh-CN"/>
        </w:rPr>
      </w:pPr>
      <w:r>
        <w:rPr>
          <w:rFonts w:hint="eastAsia"/>
          <w:lang w:eastAsia="zh-CN"/>
        </w:rPr>
        <w:t>容量与连续性管理：自2025年起，依据新版标准要求新增“服务可用率”“服务故障中断次数”“容量事件数”三项指标。2025年服务可用率达100%，服务故障中断次数为0次，容量事件数为0次，各项指标均达成考核目标。公司已编制并发布《容量计划》《业务连续性计划》，并于2025年11月完成连续性演练，各项指标达标。</w:t>
      </w:r>
    </w:p>
    <w:p w14:paraId="40A134D3">
      <w:pPr>
        <w:pStyle w:val="35"/>
        <w:rPr>
          <w:rFonts w:hint="eastAsia"/>
          <w:lang w:eastAsia="zh-CN"/>
        </w:rPr>
      </w:pPr>
      <w:r>
        <w:rPr>
          <w:rFonts w:hint="eastAsia"/>
          <w:lang w:eastAsia="zh-CN"/>
        </w:rPr>
        <w:t>信息安全：信息安全事件数量从2023年的1次降至2024年的0次，2025年继续保持0次，持续达成≤1次的考核目标，信息安全管理体系运行有效。</w:t>
      </w:r>
    </w:p>
    <w:p w14:paraId="29924555">
      <w:pPr>
        <w:pStyle w:val="36"/>
        <w:bidi w:val="0"/>
        <w:rPr>
          <w:rFonts w:hint="eastAsia"/>
          <w:lang w:eastAsia="zh-CN"/>
        </w:rPr>
      </w:pPr>
      <w:bookmarkStart w:id="28" w:name="_Toc3819"/>
      <w:bookmarkStart w:id="29" w:name="_Toc13345"/>
      <w:r>
        <w:rPr>
          <w:rFonts w:hint="default"/>
        </w:rPr>
        <w:t>技术研发与应急响应能力升级</w:t>
      </w:r>
      <w:bookmarkEnd w:id="28"/>
      <w:bookmarkEnd w:id="29"/>
    </w:p>
    <w:p w14:paraId="5B6F7A23">
      <w:pPr>
        <w:pStyle w:val="35"/>
        <w:bidi w:val="0"/>
        <w:rPr>
          <w:rFonts w:hint="eastAsia"/>
          <w:lang w:eastAsia="zh-CN"/>
        </w:rPr>
      </w:pPr>
      <w:r>
        <w:rPr>
          <w:rFonts w:hint="default"/>
        </w:rPr>
        <w:t>激发企业创新活力：研发并迭代了</w:t>
      </w:r>
      <w:r>
        <w:rPr>
          <w:rFonts w:hint="eastAsia"/>
          <w:lang w:val="en-US" w:eastAsia="zh-CN"/>
        </w:rPr>
        <w:t>华数-服务价值台</w:t>
      </w:r>
      <w:r>
        <w:rPr>
          <w:rFonts w:hint="default"/>
        </w:rPr>
        <w:t>，完成了3部运维技术手册的编制，累计研发投入</w:t>
      </w:r>
      <w:r>
        <w:rPr>
          <w:rFonts w:hint="eastAsia"/>
          <w:lang w:val="en-US" w:eastAsia="zh-CN"/>
        </w:rPr>
        <w:t>103</w:t>
      </w:r>
      <w:r>
        <w:rPr>
          <w:rFonts w:hint="default"/>
        </w:rPr>
        <w:t>万元，研发成果已应用于多个运维项目。</w:t>
      </w:r>
    </w:p>
    <w:p w14:paraId="25CA1DBB">
      <w:pPr>
        <w:pStyle w:val="36"/>
        <w:bidi w:val="0"/>
        <w:rPr>
          <w:rFonts w:hint="default"/>
        </w:rPr>
      </w:pPr>
      <w:bookmarkStart w:id="30" w:name="_Toc26000"/>
      <w:bookmarkStart w:id="31" w:name="_Toc7663"/>
      <w:r>
        <w:rPr>
          <w:rFonts w:hint="default"/>
        </w:rPr>
        <w:t>交付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应急</w:t>
      </w:r>
      <w:r>
        <w:rPr>
          <w:rFonts w:hint="default"/>
        </w:rPr>
        <w:t>管理能力持续优化</w:t>
      </w:r>
      <w:bookmarkEnd w:id="30"/>
      <w:bookmarkEnd w:id="31"/>
    </w:p>
    <w:p w14:paraId="651DC68F">
      <w:pPr>
        <w:pStyle w:val="35"/>
        <w:rPr>
          <w:rFonts w:hint="default"/>
        </w:rPr>
      </w:pPr>
      <w:r>
        <w:rPr>
          <w:rFonts w:hint="default"/>
        </w:rPr>
        <w:t>交付管理：项目及时交付率自2025年起依据新版标准要求新增该项指标，2025年达到100%，达成年度考核目标。</w:t>
      </w:r>
    </w:p>
    <w:p w14:paraId="57912996">
      <w:pPr>
        <w:pStyle w:val="35"/>
        <w:rPr>
          <w:rFonts w:hint="default"/>
        </w:rPr>
      </w:pPr>
      <w:bookmarkStart w:id="38" w:name="_GoBack"/>
      <w:bookmarkEnd w:id="38"/>
      <w:r>
        <w:rPr>
          <w:rFonts w:hint="default"/>
        </w:rPr>
        <w:t>应急响应：项目应急演练次数自2025年起依据新版标准要求新增该项指标，2025年完成应急演练1次，达成年度考核目标（≥1次）。公司已建立分级应急响应机制（Ⅰ-Ⅳ级），制定公安视频监控平台应急预案，组织应急演练。，2025年1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月完成实战演练，业务恢复平稳。</w:t>
      </w:r>
    </w:p>
    <w:p w14:paraId="49F135C5">
      <w:pPr>
        <w:pStyle w:val="34"/>
        <w:bidi w:val="0"/>
        <w:rPr>
          <w:rFonts w:hint="default"/>
        </w:rPr>
      </w:pPr>
      <w:bookmarkStart w:id="32" w:name="_Toc14661"/>
      <w:bookmarkStart w:id="33" w:name="_Toc21098"/>
      <w:r>
        <w:rPr>
          <w:rFonts w:hint="default"/>
        </w:rPr>
        <w:t>总结与改进</w:t>
      </w:r>
      <w:bookmarkEnd w:id="32"/>
      <w:bookmarkEnd w:id="33"/>
    </w:p>
    <w:p w14:paraId="36279B38">
      <w:pPr>
        <w:pStyle w:val="36"/>
        <w:bidi w:val="0"/>
        <w:rPr>
          <w:rFonts w:hint="default"/>
        </w:rPr>
      </w:pPr>
      <w:bookmarkStart w:id="34" w:name="_Toc15151"/>
      <w:bookmarkStart w:id="35" w:name="_Toc14254"/>
      <w:r>
        <w:rPr>
          <w:rFonts w:hint="default"/>
        </w:rPr>
        <w:t>总结</w:t>
      </w:r>
      <w:bookmarkEnd w:id="34"/>
      <w:bookmarkEnd w:id="35"/>
    </w:p>
    <w:p w14:paraId="3677F63A">
      <w:pPr>
        <w:pStyle w:val="35"/>
        <w:rPr>
          <w:rFonts w:hint="default"/>
        </w:rPr>
      </w:pPr>
      <w:r>
        <w:rPr>
          <w:rFonts w:hint="default"/>
        </w:rPr>
        <w:t>近三年，公司ITSS运维服务管理体系运行有效，各项KPI指标均达成或超越考核目标。人员、资源、过程、交付等核心能力持续提升，运维营收从1,800万元增长至2,200万元，年均增长率约10.5%。自2025年起，公司顺利完成新旧标准切换，新增服务可用率、软件合规性审计、服务数据分析利用、项目及时交付率、项目应急演练次数等指标，均达成目标。ITSS体系的深化实施，有效支撑了公司运维服务的规范化、高效化与智能化发展。</w:t>
      </w:r>
    </w:p>
    <w:p w14:paraId="5162CF85">
      <w:pPr>
        <w:pStyle w:val="36"/>
        <w:bidi w:val="0"/>
        <w:rPr>
          <w:rFonts w:hint="default"/>
        </w:rPr>
      </w:pPr>
      <w:bookmarkStart w:id="36" w:name="_Toc18906"/>
      <w:bookmarkStart w:id="37" w:name="_Toc24352"/>
      <w:r>
        <w:rPr>
          <w:rFonts w:hint="default"/>
        </w:rPr>
        <w:t>改进方向</w:t>
      </w:r>
      <w:bookmarkEnd w:id="36"/>
      <w:bookmarkEnd w:id="37"/>
    </w:p>
    <w:p w14:paraId="41D30A9A">
      <w:pPr>
        <w:pStyle w:val="35"/>
        <w:bidi w:val="0"/>
        <w:rPr>
          <w:rFonts w:hint="eastAsia"/>
          <w:lang w:eastAsia="zh-CN"/>
        </w:rPr>
      </w:pPr>
      <w:r>
        <w:rPr>
          <w:rFonts w:hint="default"/>
        </w:rPr>
        <w:t>结合新版ITSS标准要求及体系运行过程中发现的问题，公司未来将重点推进以下改进：</w:t>
      </w:r>
    </w:p>
    <w:p w14:paraId="4F2BA9B1">
      <w:pPr>
        <w:pStyle w:val="35"/>
        <w:bidi w:val="0"/>
        <w:rPr>
          <w:rFonts w:hint="eastAsia"/>
        </w:rPr>
      </w:pPr>
      <w:r>
        <w:rPr>
          <w:rFonts w:hint="eastAsia"/>
        </w:rPr>
        <w:t>完善知识库动态管理：建立知识条目季度复审机制，鼓励员工贡献优质知识，将知识贡献纳入绩效考核，进一步提升知识复用效率。</w:t>
      </w:r>
    </w:p>
    <w:p w14:paraId="109693FD">
      <w:pPr>
        <w:pStyle w:val="35"/>
        <w:bidi w:val="0"/>
        <w:rPr>
          <w:rFonts w:hint="eastAsia"/>
        </w:rPr>
      </w:pPr>
      <w:r>
        <w:rPr>
          <w:rFonts w:hint="eastAsia"/>
        </w:rPr>
        <w:t>深化人员梯队建设：优化招聘渠道，提升高技能人才引进效率；完善“管理+技术”双通道晋升体系，增强人才储备深度。</w:t>
      </w:r>
    </w:p>
    <w:p w14:paraId="703A7551">
      <w:pPr>
        <w:pStyle w:val="35"/>
        <w:bidi w:val="0"/>
        <w:rPr>
          <w:rFonts w:hint="eastAsia"/>
        </w:rPr>
      </w:pPr>
      <w:r>
        <w:rPr>
          <w:rFonts w:hint="eastAsia"/>
        </w:rPr>
        <w:t>强化过程精细化管理：针对配置管理、问题管理等环节增加检查频次，建立过程指标实时监控与预警机制，确保问题转知识比率向100%迈进。</w:t>
      </w:r>
    </w:p>
    <w:p w14:paraId="7C015708">
      <w:pPr>
        <w:pStyle w:val="35"/>
        <w:bidi w:val="0"/>
        <w:rPr>
          <w:rFonts w:hint="eastAsia"/>
        </w:rPr>
      </w:pPr>
      <w:r>
        <w:rPr>
          <w:rFonts w:hint="eastAsia"/>
        </w:rPr>
        <w:t>深化数据驱动决策：扩大服务数据分析应用范围，探索引入预测性分析模型，从“描述现状”向“预测预警”和“处方建议”深化，支撑更精准的管理决策。</w:t>
      </w:r>
    </w:p>
    <w:p w14:paraId="4397271C">
      <w:pPr>
        <w:pStyle w:val="35"/>
        <w:bidi w:val="0"/>
      </w:pPr>
      <w:r>
        <w:rPr>
          <w:rFonts w:hint="eastAsia"/>
        </w:rPr>
        <w:t>未来，公司将持续以新版GB/T 28827.1-2022与T/CESA 1299-2023标准为指引，推动ITSS体系与业务发展深度融合，不断提升运维服务能力成熟度，为客户提供更优质、高效、智能的运维服务。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ODM0YmMxOWJiYWQyNDU4MGIzYWRmYTA0ZmI5NDcifQ=="/>
  </w:docVars>
  <w:rsids>
    <w:rsidRoot w:val="00000000"/>
    <w:rsid w:val="01A56597"/>
    <w:rsid w:val="03661A20"/>
    <w:rsid w:val="03821AF9"/>
    <w:rsid w:val="03C03826"/>
    <w:rsid w:val="04872FFB"/>
    <w:rsid w:val="05614B95"/>
    <w:rsid w:val="05DF009E"/>
    <w:rsid w:val="062005AC"/>
    <w:rsid w:val="06B1018C"/>
    <w:rsid w:val="076A12ED"/>
    <w:rsid w:val="07DB29DD"/>
    <w:rsid w:val="080063E8"/>
    <w:rsid w:val="0A805DAC"/>
    <w:rsid w:val="0C994C14"/>
    <w:rsid w:val="0D906017"/>
    <w:rsid w:val="0E7E0566"/>
    <w:rsid w:val="0E9C09EC"/>
    <w:rsid w:val="0EE24651"/>
    <w:rsid w:val="104747D1"/>
    <w:rsid w:val="10820F7B"/>
    <w:rsid w:val="10E54DC4"/>
    <w:rsid w:val="10F93463"/>
    <w:rsid w:val="11313480"/>
    <w:rsid w:val="11B61FD4"/>
    <w:rsid w:val="121216F1"/>
    <w:rsid w:val="12EA61CA"/>
    <w:rsid w:val="13BF7656"/>
    <w:rsid w:val="14004E57"/>
    <w:rsid w:val="14BD76C0"/>
    <w:rsid w:val="155D7127"/>
    <w:rsid w:val="159A3ED7"/>
    <w:rsid w:val="15C40D7D"/>
    <w:rsid w:val="173739A8"/>
    <w:rsid w:val="17936E30"/>
    <w:rsid w:val="18187335"/>
    <w:rsid w:val="1A9B5FFB"/>
    <w:rsid w:val="1B256925"/>
    <w:rsid w:val="1C232937"/>
    <w:rsid w:val="1DC1221D"/>
    <w:rsid w:val="1DD3623E"/>
    <w:rsid w:val="1E8F7C25"/>
    <w:rsid w:val="1F5A6485"/>
    <w:rsid w:val="1FB3733F"/>
    <w:rsid w:val="1FC87893"/>
    <w:rsid w:val="1FFB5A71"/>
    <w:rsid w:val="206E67B0"/>
    <w:rsid w:val="216C7802"/>
    <w:rsid w:val="226D3F21"/>
    <w:rsid w:val="23BB22C1"/>
    <w:rsid w:val="250255F5"/>
    <w:rsid w:val="25396B3D"/>
    <w:rsid w:val="25C047FA"/>
    <w:rsid w:val="264E003E"/>
    <w:rsid w:val="266B0F78"/>
    <w:rsid w:val="273E7142"/>
    <w:rsid w:val="27E62FAC"/>
    <w:rsid w:val="28924C1A"/>
    <w:rsid w:val="28A6098D"/>
    <w:rsid w:val="29202FD3"/>
    <w:rsid w:val="293E414A"/>
    <w:rsid w:val="29995DFC"/>
    <w:rsid w:val="29AA1DB7"/>
    <w:rsid w:val="2A8B1BE9"/>
    <w:rsid w:val="2BEF61A7"/>
    <w:rsid w:val="2C392914"/>
    <w:rsid w:val="2CB82A3D"/>
    <w:rsid w:val="2F1523C9"/>
    <w:rsid w:val="32196FCE"/>
    <w:rsid w:val="3251196A"/>
    <w:rsid w:val="326276D3"/>
    <w:rsid w:val="32BB6DE3"/>
    <w:rsid w:val="342A3D4C"/>
    <w:rsid w:val="35A95619"/>
    <w:rsid w:val="35F5085E"/>
    <w:rsid w:val="369E0EF6"/>
    <w:rsid w:val="371B6954"/>
    <w:rsid w:val="3AB31D65"/>
    <w:rsid w:val="3AC727C9"/>
    <w:rsid w:val="3AF8522A"/>
    <w:rsid w:val="3B1021D8"/>
    <w:rsid w:val="3B500BDE"/>
    <w:rsid w:val="3BEA73C6"/>
    <w:rsid w:val="3BF517E5"/>
    <w:rsid w:val="3C0B53D0"/>
    <w:rsid w:val="3C0D6901"/>
    <w:rsid w:val="3C3E4D0D"/>
    <w:rsid w:val="3C4A2B9F"/>
    <w:rsid w:val="3C642299"/>
    <w:rsid w:val="3CDA2D83"/>
    <w:rsid w:val="3D6D7401"/>
    <w:rsid w:val="3D994F8E"/>
    <w:rsid w:val="3DD516A1"/>
    <w:rsid w:val="3E611186"/>
    <w:rsid w:val="3EFF7CE6"/>
    <w:rsid w:val="3FA07A8C"/>
    <w:rsid w:val="40A2730F"/>
    <w:rsid w:val="41B8730F"/>
    <w:rsid w:val="44762D4A"/>
    <w:rsid w:val="45B34BDE"/>
    <w:rsid w:val="45C5024D"/>
    <w:rsid w:val="46CD560B"/>
    <w:rsid w:val="46D00C57"/>
    <w:rsid w:val="47150D60"/>
    <w:rsid w:val="48902522"/>
    <w:rsid w:val="49F16302"/>
    <w:rsid w:val="4A233794"/>
    <w:rsid w:val="4AE45E16"/>
    <w:rsid w:val="4AFA44F5"/>
    <w:rsid w:val="4B7F49FA"/>
    <w:rsid w:val="4D5F67E0"/>
    <w:rsid w:val="4FA577DE"/>
    <w:rsid w:val="4FC21359"/>
    <w:rsid w:val="500D49E0"/>
    <w:rsid w:val="50CC477A"/>
    <w:rsid w:val="52383B54"/>
    <w:rsid w:val="52B306CE"/>
    <w:rsid w:val="52B458D1"/>
    <w:rsid w:val="53F817ED"/>
    <w:rsid w:val="54977258"/>
    <w:rsid w:val="54BE7F1A"/>
    <w:rsid w:val="56F73DCA"/>
    <w:rsid w:val="572D7381"/>
    <w:rsid w:val="58BF6D7E"/>
    <w:rsid w:val="58EC6049"/>
    <w:rsid w:val="59E4202F"/>
    <w:rsid w:val="59E7033A"/>
    <w:rsid w:val="5A455061"/>
    <w:rsid w:val="5A4C2893"/>
    <w:rsid w:val="5AFC6067"/>
    <w:rsid w:val="5BE80399"/>
    <w:rsid w:val="5CF12CB1"/>
    <w:rsid w:val="5CF702E9"/>
    <w:rsid w:val="5D562BB6"/>
    <w:rsid w:val="5DC96435"/>
    <w:rsid w:val="5DE80B25"/>
    <w:rsid w:val="5EA0279E"/>
    <w:rsid w:val="5F6A42C1"/>
    <w:rsid w:val="60820DBC"/>
    <w:rsid w:val="6110461A"/>
    <w:rsid w:val="614E5143"/>
    <w:rsid w:val="61980A19"/>
    <w:rsid w:val="622055C4"/>
    <w:rsid w:val="63304B00"/>
    <w:rsid w:val="634E142A"/>
    <w:rsid w:val="63C96D02"/>
    <w:rsid w:val="64D265C7"/>
    <w:rsid w:val="686D5EAE"/>
    <w:rsid w:val="686E1298"/>
    <w:rsid w:val="689C0C83"/>
    <w:rsid w:val="68E75CE9"/>
    <w:rsid w:val="690065A2"/>
    <w:rsid w:val="6A0A597F"/>
    <w:rsid w:val="6A1567FD"/>
    <w:rsid w:val="6A7F299D"/>
    <w:rsid w:val="6A9B048D"/>
    <w:rsid w:val="6B4C4AE6"/>
    <w:rsid w:val="6CF77DD5"/>
    <w:rsid w:val="6CFC5A53"/>
    <w:rsid w:val="6DD95E9A"/>
    <w:rsid w:val="6E9E24DB"/>
    <w:rsid w:val="6FA0767B"/>
    <w:rsid w:val="702C3243"/>
    <w:rsid w:val="70893AA1"/>
    <w:rsid w:val="711335D5"/>
    <w:rsid w:val="719C5A56"/>
    <w:rsid w:val="741E6BF6"/>
    <w:rsid w:val="754B7577"/>
    <w:rsid w:val="7691545E"/>
    <w:rsid w:val="76AA29C3"/>
    <w:rsid w:val="793C296C"/>
    <w:rsid w:val="7A765096"/>
    <w:rsid w:val="7A813A3B"/>
    <w:rsid w:val="7AEE7323"/>
    <w:rsid w:val="7B5B4B25"/>
    <w:rsid w:val="7BAB1E8D"/>
    <w:rsid w:val="7C975798"/>
    <w:rsid w:val="7D007C96"/>
    <w:rsid w:val="7D515755"/>
    <w:rsid w:val="7FB9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Plain Text"/>
    <w:basedOn w:val="1"/>
    <w:link w:val="26"/>
    <w:qFormat/>
    <w:uiPriority w:val="0"/>
    <w:rPr>
      <w:rFonts w:ascii="宋体" w:hAnsi="Courier New"/>
    </w:rPr>
  </w:style>
  <w:style w:type="paragraph" w:styleId="15">
    <w:name w:val="footer"/>
    <w:basedOn w:val="1"/>
    <w:link w:val="2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link w:val="2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character" w:customStyle="1" w:styleId="26">
    <w:name w:val="纯文本 Char"/>
    <w:link w:val="14"/>
    <w:qFormat/>
    <w:uiPriority w:val="99"/>
    <w:rPr>
      <w:rFonts w:ascii="宋体" w:hAnsi="Courier New"/>
    </w:rPr>
  </w:style>
  <w:style w:type="paragraph" w:customStyle="1" w:styleId="27">
    <w:name w:val="List Paragraph"/>
    <w:basedOn w:val="1"/>
    <w:qFormat/>
    <w:uiPriority w:val="34"/>
    <w:pPr>
      <w:ind w:firstLine="420" w:firstLineChars="200"/>
    </w:pPr>
  </w:style>
  <w:style w:type="character" w:customStyle="1" w:styleId="28">
    <w:name w:val="页眉 Char"/>
    <w:link w:val="16"/>
    <w:semiHidden/>
    <w:qFormat/>
    <w:uiPriority w:val="99"/>
    <w:rPr>
      <w:sz w:val="18"/>
    </w:rPr>
  </w:style>
  <w:style w:type="character" w:customStyle="1" w:styleId="29">
    <w:name w:val="页脚 Char"/>
    <w:link w:val="15"/>
    <w:semiHidden/>
    <w:qFormat/>
    <w:uiPriority w:val="99"/>
    <w:rPr>
      <w:sz w:val="18"/>
    </w:rPr>
  </w:style>
  <w:style w:type="paragraph" w:customStyle="1" w:styleId="30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1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3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3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4">
    <w:name w:val="柴_标题1"/>
    <w:basedOn w:val="2"/>
    <w:next w:val="35"/>
    <w:link w:val="44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5">
    <w:name w:val="柴_正文"/>
    <w:basedOn w:val="12"/>
    <w:link w:val="47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6">
    <w:name w:val="柴_标题2"/>
    <w:basedOn w:val="3"/>
    <w:next w:val="35"/>
    <w:link w:val="5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7">
    <w:name w:val="柴_标题3"/>
    <w:basedOn w:val="4"/>
    <w:next w:val="35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8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1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2">
    <w:name w:val="Compact"/>
    <w:basedOn w:val="12"/>
    <w:qFormat/>
    <w:uiPriority w:val="0"/>
    <w:pPr>
      <w:spacing w:before="36" w:after="36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4">
    <w:name w:val="柴_标题1 Char"/>
    <w:link w:val="34"/>
    <w:qFormat/>
    <w:uiPriority w:val="0"/>
    <w:rPr>
      <w:rFonts w:ascii="Arial" w:hAnsi="Arial" w:eastAsia="宋体"/>
      <w:sz w:val="32"/>
    </w:rPr>
  </w:style>
  <w:style w:type="paragraph" w:customStyle="1" w:styleId="45">
    <w:name w:val="柴_正文_无缩进"/>
    <w:basedOn w:val="1"/>
    <w:link w:val="49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6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7">
    <w:name w:val="柴_正文 Char"/>
    <w:link w:val="35"/>
    <w:qFormat/>
    <w:uiPriority w:val="0"/>
    <w:rPr>
      <w:rFonts w:ascii="Arial" w:hAnsi="Arial" w:eastAsia="宋体"/>
      <w:sz w:val="24"/>
      <w:lang w:eastAsia="zh-CN"/>
    </w:rPr>
  </w:style>
  <w:style w:type="table" w:customStyle="1" w:styleId="48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9">
    <w:name w:val="柴_正文_无缩进 Char"/>
    <w:link w:val="45"/>
    <w:qFormat/>
    <w:uiPriority w:val="0"/>
    <w:rPr>
      <w:rFonts w:ascii="Arial" w:hAnsi="Arial"/>
      <w:sz w:val="24"/>
      <w:lang w:eastAsia="zh-CN"/>
    </w:rPr>
  </w:style>
  <w:style w:type="character" w:customStyle="1" w:styleId="50">
    <w:name w:val="柴_标题2 Char"/>
    <w:link w:val="36"/>
    <w:qFormat/>
    <w:uiPriority w:val="0"/>
    <w:rPr>
      <w:rFonts w:ascii="Arial" w:hAnsi="Arial" w:eastAsia="宋体"/>
      <w:sz w:val="28"/>
    </w:rPr>
  </w:style>
  <w:style w:type="character" w:customStyle="1" w:styleId="51">
    <w:name w:val="font31"/>
    <w:basedOn w:val="23"/>
    <w:qFormat/>
    <w:uiPriority w:val="0"/>
    <w:rPr>
      <w:rFonts w:hint="default" w:ascii="Consolas" w:hAnsi="Consolas" w:eastAsia="Consolas" w:cs="Consolas"/>
      <w:color w:val="0F1115"/>
      <w:sz w:val="21"/>
      <w:szCs w:val="21"/>
      <w:u w:val="none"/>
    </w:rPr>
  </w:style>
  <w:style w:type="character" w:customStyle="1" w:styleId="52">
    <w:name w:val="font61"/>
    <w:basedOn w:val="23"/>
    <w:qFormat/>
    <w:uiPriority w:val="0"/>
    <w:rPr>
      <w:rFonts w:hint="eastAsia" w:ascii="宋体" w:hAnsi="宋体" w:eastAsia="宋体" w:cs="宋体"/>
      <w:color w:val="0F1115"/>
      <w:sz w:val="21"/>
      <w:szCs w:val="21"/>
      <w:u w:val="none"/>
    </w:rPr>
  </w:style>
  <w:style w:type="character" w:customStyle="1" w:styleId="53">
    <w:name w:val="font11"/>
    <w:basedOn w:val="23"/>
    <w:qFormat/>
    <w:uiPriority w:val="0"/>
    <w:rPr>
      <w:rFonts w:hint="default" w:ascii="Consolas" w:hAnsi="Consolas" w:eastAsia="Consolas" w:cs="Consolas"/>
      <w:color w:val="0F1115"/>
      <w:sz w:val="21"/>
      <w:szCs w:val="21"/>
      <w:u w:val="none"/>
    </w:rPr>
  </w:style>
  <w:style w:type="character" w:customStyle="1" w:styleId="54">
    <w:name w:val="font21"/>
    <w:basedOn w:val="23"/>
    <w:qFormat/>
    <w:uiPriority w:val="0"/>
    <w:rPr>
      <w:rFonts w:hint="eastAsia" w:ascii="宋体" w:hAnsi="宋体" w:eastAsia="宋体" w:cs="宋体"/>
      <w:color w:val="0F1115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5020</Words>
  <Characters>6146</Characters>
  <Lines>1</Lines>
  <Paragraphs>1</Paragraphs>
  <TotalTime>0</TotalTime>
  <ScaleCrop>false</ScaleCrop>
  <LinksUpToDate>false</LinksUpToDate>
  <CharactersWithSpaces>6237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2017-09-07T04:17:00Z</dcterms:created>
  <dc:creator>kang</dc:creator>
  <cp:lastModifiedBy>郝宇</cp:lastModifiedBy>
  <dcterms:modified xsi:type="dcterms:W3CDTF">2026-04-24T18:49:24Z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81121E9D31AE45D3A3B4BF3F7C4E44C4_13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