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018425">
      <w:pPr>
        <w:pStyle w:val="24"/>
        <w:keepNext w:val="0"/>
        <w:keepLines w:val="0"/>
        <w:pageBreakBefore w:val="0"/>
        <w:widowControl w:val="0"/>
        <w:kinsoku w:val="0"/>
        <w:wordWrap/>
        <w:overflowPunct/>
        <w:topLinePunct w:val="0"/>
        <w:autoSpaceDE w:val="0"/>
        <w:autoSpaceDN w:val="0"/>
        <w:bidi w:val="0"/>
        <w:adjustRightInd w:val="0"/>
        <w:snapToGrid w:val="0"/>
        <w:spacing w:before="3120" w:beforeLines="1000"/>
        <w:textAlignment w:val="baseline"/>
      </w:pPr>
      <w:bookmarkStart w:id="0" w:name="_Toc15581"/>
      <w:r>
        <w:drawing>
          <wp:anchor distT="0" distB="0" distL="114300" distR="114300" simplePos="0" relativeHeight="251660288" behindDoc="1" locked="0" layoutInCell="1" allowOverlap="1">
            <wp:simplePos x="0" y="0"/>
            <wp:positionH relativeFrom="column">
              <wp:posOffset>-19050</wp:posOffset>
            </wp:positionH>
            <wp:positionV relativeFrom="paragraph">
              <wp:posOffset>-22225</wp:posOffset>
            </wp:positionV>
            <wp:extent cx="5304790" cy="8893810"/>
            <wp:effectExtent l="0" t="0" r="13970" b="635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stretch>
                      <a:fillRect/>
                    </a:stretch>
                  </pic:blipFill>
                  <pic:spPr>
                    <a:xfrm>
                      <a:off x="0" y="0"/>
                      <a:ext cx="5304790" cy="8893810"/>
                    </a:xfrm>
                    <a:prstGeom prst="rect">
                      <a:avLst/>
                    </a:prstGeom>
                    <a:noFill/>
                    <a:ln>
                      <a:noFill/>
                    </a:ln>
                  </pic:spPr>
                </pic:pic>
              </a:graphicData>
            </a:graphic>
          </wp:anchor>
        </w:drawing>
      </w:r>
      <w:r>
        <w:rPr>
          <w:rFonts w:hint="eastAsia"/>
          <w:lang w:val="en-US" w:eastAsia="zh-CN"/>
        </w:rPr>
        <w:t>桐乡华数广电网络有限公司</w:t>
      </w:r>
      <w:bookmarkEnd w:id="0"/>
    </w:p>
    <w:p w14:paraId="1EBAB0B1">
      <w:pPr>
        <w:pStyle w:val="25"/>
        <w:keepNext w:val="0"/>
        <w:keepLines w:val="0"/>
        <w:pageBreakBefore w:val="0"/>
        <w:widowControl w:val="0"/>
        <w:kinsoku w:val="0"/>
        <w:wordWrap/>
        <w:overflowPunct/>
        <w:topLinePunct w:val="0"/>
        <w:autoSpaceDE w:val="0"/>
        <w:autoSpaceDN w:val="0"/>
        <w:bidi w:val="0"/>
        <w:adjustRightInd w:val="0"/>
        <w:snapToGrid w:val="0"/>
        <w:spacing w:before="0" w:after="624" w:afterLines="200"/>
        <w:textAlignment w:val="baseline"/>
        <w:rPr>
          <w:rFonts w:hint="eastAsia"/>
          <w:lang w:val="en-US" w:eastAsia="zh-CN"/>
        </w:rPr>
      </w:pPr>
      <w:bookmarkStart w:id="1" w:name="_Toc8098"/>
      <w:r>
        <w:rPr>
          <w:rFonts w:hint="eastAsia"/>
          <w:lang w:val="en-US" w:eastAsia="zh-CN"/>
        </w:rPr>
        <w:t>运维服务目录管理制度</w:t>
      </w:r>
      <w:bookmarkEnd w:id="1"/>
    </w:p>
    <w:p w14:paraId="1E24EF6F">
      <w:pPr>
        <w:keepNext w:val="0"/>
        <w:keepLines w:val="0"/>
        <w:pageBreakBefore w:val="0"/>
        <w:widowControl w:val="0"/>
        <w:kinsoku w:val="0"/>
        <w:wordWrap/>
        <w:overflowPunct/>
        <w:topLinePunct w:val="0"/>
        <w:autoSpaceDE w:val="0"/>
        <w:autoSpaceDN w:val="0"/>
        <w:bidi w:val="0"/>
        <w:adjustRightInd w:val="0"/>
        <w:snapToGrid w:val="0"/>
        <w:spacing w:after="624" w:afterLines="200" w:line="219" w:lineRule="auto"/>
        <w:ind w:left="0" w:leftChars="0" w:right="0" w:rightChars="0" w:firstLine="0" w:firstLineChars="0"/>
        <w:jc w:val="center"/>
        <w:textAlignment w:val="baseline"/>
        <w:rPr>
          <w:rFonts w:hint="default" w:ascii="宋体" w:hAnsi="宋体" w:eastAsia="宋体" w:cs="宋体"/>
          <w:sz w:val="24"/>
          <w:szCs w:val="24"/>
          <w:lang w:val="en-US" w:eastAsia="zh-CN"/>
        </w:rPr>
      </w:pPr>
      <w:r>
        <w:drawing>
          <wp:anchor distT="0" distB="0" distL="114300" distR="114300" simplePos="0" relativeHeight="251659264" behindDoc="1" locked="0" layoutInCell="1" allowOverlap="1">
            <wp:simplePos x="0" y="0"/>
            <wp:positionH relativeFrom="column">
              <wp:posOffset>0</wp:posOffset>
            </wp:positionH>
            <wp:positionV relativeFrom="paragraph">
              <wp:posOffset>-4850765</wp:posOffset>
            </wp:positionV>
            <wp:extent cx="5273675" cy="8843645"/>
            <wp:effectExtent l="0" t="0" r="14605" b="10795"/>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8"/>
                    <a:stretch>
                      <a:fillRect/>
                    </a:stretch>
                  </pic:blipFill>
                  <pic:spPr>
                    <a:xfrm>
                      <a:off x="0" y="0"/>
                      <a:ext cx="5273675" cy="8843645"/>
                    </a:xfrm>
                    <a:prstGeom prst="rect">
                      <a:avLst/>
                    </a:prstGeom>
                    <a:noFill/>
                    <a:ln>
                      <a:noFill/>
                    </a:ln>
                  </pic:spPr>
                </pic:pic>
              </a:graphicData>
            </a:graphic>
          </wp:anchor>
        </w:drawing>
      </w:r>
      <w:r>
        <w:rPr>
          <w:rFonts w:ascii="宋体" w:hAnsi="宋体" w:eastAsia="宋体" w:cs="宋体"/>
          <w:b/>
          <w:bCs/>
          <w:spacing w:val="-3"/>
          <w:sz w:val="24"/>
          <w:szCs w:val="24"/>
        </w:rPr>
        <w:t>文件编号：</w:t>
      </w:r>
      <w:r>
        <w:rPr>
          <w:rFonts w:hint="eastAsia" w:ascii="宋体" w:hAnsi="宋体" w:eastAsia="宋体" w:cs="宋体"/>
          <w:b/>
          <w:bCs/>
          <w:spacing w:val="-3"/>
          <w:sz w:val="24"/>
          <w:szCs w:val="24"/>
          <w:lang w:val="en-US" w:eastAsia="zh-CN"/>
        </w:rPr>
        <w:t>TXHS</w:t>
      </w:r>
      <w:r>
        <w:rPr>
          <w:rFonts w:ascii="宋体" w:hAnsi="宋体" w:eastAsia="宋体" w:cs="宋体"/>
          <w:b/>
          <w:bCs/>
          <w:spacing w:val="-3"/>
          <w:sz w:val="24"/>
          <w:szCs w:val="24"/>
        </w:rPr>
        <w:t>-0</w:t>
      </w:r>
      <w:r>
        <w:rPr>
          <w:rFonts w:hint="eastAsia" w:ascii="宋体" w:hAnsi="宋体" w:cs="宋体"/>
          <w:b/>
          <w:bCs/>
          <w:spacing w:val="-3"/>
          <w:sz w:val="24"/>
          <w:szCs w:val="24"/>
          <w:lang w:val="en-US" w:eastAsia="zh-CN"/>
        </w:rPr>
        <w:t>1</w:t>
      </w:r>
      <w:r>
        <w:rPr>
          <w:rFonts w:ascii="宋体" w:hAnsi="宋体" w:eastAsia="宋体" w:cs="宋体"/>
          <w:b/>
          <w:bCs/>
          <w:spacing w:val="-3"/>
          <w:sz w:val="24"/>
          <w:szCs w:val="24"/>
        </w:rPr>
        <w:t>-01</w:t>
      </w:r>
    </w:p>
    <w:tbl>
      <w:tblPr>
        <w:tblStyle w:val="2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32"/>
        <w:gridCol w:w="2708"/>
      </w:tblGrid>
      <w:tr w14:paraId="634303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2432" w:type="dxa"/>
          </w:tcPr>
          <w:p w14:paraId="3E856143">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编制部门</w:t>
            </w:r>
            <w:r>
              <w:rPr>
                <w:rFonts w:hint="default" w:asciiTheme="minorAscii" w:hAnsiTheme="minorAscii" w:eastAsiaTheme="minorEastAsia"/>
                <w:spacing w:val="227"/>
                <w:sz w:val="21"/>
                <w:vertAlign w:val="baseline"/>
                <w:lang w:val="en-US" w:eastAsia="zh-CN"/>
              </w:rPr>
              <w:t>:</w:t>
            </w:r>
            <w:r>
              <w:rPr>
                <w:rFonts w:hint="eastAsia"/>
                <w:u w:val="single"/>
                <w:vertAlign w:val="baseline"/>
                <w:lang w:val="en-US" w:eastAsia="zh-CN"/>
              </w:rPr>
              <w:t>运维部</w:t>
            </w:r>
          </w:p>
        </w:tc>
        <w:tc>
          <w:tcPr>
            <w:tcW w:w="2708" w:type="dxa"/>
          </w:tcPr>
          <w:p w14:paraId="54ABC5CC">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2025.01.10</w:t>
            </w:r>
          </w:p>
        </w:tc>
      </w:tr>
      <w:tr w14:paraId="237AED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2432" w:type="dxa"/>
            <w:shd w:val="clear" w:color="auto" w:fill="auto"/>
          </w:tcPr>
          <w:p w14:paraId="3D480E04">
            <w:pPr>
              <w:keepNext w:val="0"/>
              <w:keepLines w:val="0"/>
              <w:pageBreakBefore w:val="0"/>
              <w:widowControl w:val="0"/>
              <w:kinsoku w:val="0"/>
              <w:wordWrap/>
              <w:overflowPunct/>
              <w:autoSpaceDE w:val="0"/>
              <w:autoSpaceDN w:val="0"/>
              <w:bidi w:val="0"/>
              <w:adjustRightInd w:val="0"/>
              <w:snapToGrid w:val="0"/>
              <w:textAlignment w:val="baseline"/>
              <w:rPr>
                <w:rFonts w:hint="default" w:ascii="Arial" w:hAnsi="Arial" w:eastAsia="Arial" w:cs="Arial"/>
                <w:snapToGrid w:val="0"/>
                <w:color w:val="000000"/>
                <w:kern w:val="0"/>
                <w:sz w:val="21"/>
                <w:szCs w:val="21"/>
                <w:vertAlign w:val="baseline"/>
                <w:lang w:val="en-US" w:eastAsia="zh-CN" w:bidi="ar-SA"/>
              </w:rPr>
            </w:pPr>
            <w:r>
              <w:rPr>
                <w:rFonts w:hint="eastAsia"/>
                <w:spacing w:val="210"/>
                <w:kern w:val="0"/>
                <w:vertAlign w:val="baseline"/>
                <w:lang w:val="en-US" w:eastAsia="zh-CN"/>
              </w:rPr>
              <w:t>版</w:t>
            </w:r>
            <w:r>
              <w:rPr>
                <w:rFonts w:hint="eastAsia"/>
                <w:spacing w:val="0"/>
                <w:kern w:val="0"/>
                <w:vertAlign w:val="baseline"/>
                <w:lang w:val="en-US" w:eastAsia="zh-CN"/>
              </w:rPr>
              <w:t>本</w:t>
            </w:r>
            <w:r>
              <w:rPr>
                <w:rFonts w:hint="default" w:asciiTheme="minorAscii" w:hAnsiTheme="minorAscii" w:eastAsiaTheme="minorEastAsia"/>
                <w:spacing w:val="227"/>
                <w:sz w:val="21"/>
                <w:vertAlign w:val="baseline"/>
                <w:lang w:val="en-US" w:eastAsia="zh-CN"/>
              </w:rPr>
              <w:t>:</w:t>
            </w:r>
            <w:r>
              <w:rPr>
                <w:rFonts w:hint="eastAsia"/>
                <w:spacing w:val="66"/>
                <w:kern w:val="0"/>
                <w:u w:val="single"/>
                <w:vertAlign w:val="baseline"/>
                <w:lang w:val="en-US" w:eastAsia="zh-CN"/>
              </w:rPr>
              <w:t>V2.</w:t>
            </w:r>
            <w:r>
              <w:rPr>
                <w:rFonts w:hint="eastAsia"/>
                <w:spacing w:val="0"/>
                <w:kern w:val="0"/>
                <w:u w:val="single"/>
                <w:vertAlign w:val="baseline"/>
                <w:lang w:val="en-US" w:eastAsia="zh-CN"/>
              </w:rPr>
              <w:t>0</w:t>
            </w:r>
          </w:p>
        </w:tc>
        <w:tc>
          <w:tcPr>
            <w:tcW w:w="2708" w:type="dxa"/>
            <w:shd w:val="clear" w:color="auto" w:fill="auto"/>
          </w:tcPr>
          <w:p w14:paraId="4226CB9D">
            <w:pPr>
              <w:keepNext w:val="0"/>
              <w:keepLines w:val="0"/>
              <w:pageBreakBefore w:val="0"/>
              <w:widowControl w:val="0"/>
              <w:kinsoku w:val="0"/>
              <w:wordWrap/>
              <w:overflowPunct/>
              <w:autoSpaceDE w:val="0"/>
              <w:autoSpaceDN w:val="0"/>
              <w:bidi w:val="0"/>
              <w:adjustRightInd w:val="0"/>
              <w:snapToGrid w:val="0"/>
              <w:textAlignment w:val="baseline"/>
              <w:rPr>
                <w:rFonts w:hint="eastAsia" w:ascii="Arial" w:hAnsi="Arial" w:eastAsia="Arial" w:cs="Arial"/>
                <w:snapToGrid w:val="0"/>
                <w:color w:val="000000"/>
                <w:kern w:val="0"/>
                <w:sz w:val="21"/>
                <w:szCs w:val="21"/>
                <w:vertAlign w:val="baseline"/>
                <w:lang w:val="en-US" w:eastAsia="zh-CN" w:bidi="ar-SA"/>
              </w:rPr>
            </w:pPr>
            <w:bookmarkStart w:id="23" w:name="_GoBack"/>
            <w:r>
              <w:rPr>
                <w:rFonts w:hint="eastAsia"/>
                <w:vertAlign w:val="baseline"/>
                <w:lang w:val="en-US" w:eastAsia="zh-CN"/>
              </w:rPr>
              <w:t>审核时间</w:t>
            </w:r>
            <w:bookmarkEnd w:id="23"/>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2025.01.10</w:t>
            </w:r>
          </w:p>
        </w:tc>
      </w:tr>
      <w:tr w14:paraId="6EA25A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jc w:val="center"/>
        </w:trPr>
        <w:tc>
          <w:tcPr>
            <w:tcW w:w="2432" w:type="dxa"/>
          </w:tcPr>
          <w:p w14:paraId="02A0B1B2">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spacing w:val="52"/>
                <w:kern w:val="0"/>
                <w:vertAlign w:val="baseline"/>
                <w:lang w:val="en-US" w:eastAsia="zh-CN"/>
              </w:rPr>
              <w:t>批准</w:t>
            </w:r>
            <w:r>
              <w:rPr>
                <w:rFonts w:hint="eastAsia"/>
                <w:spacing w:val="1"/>
                <w:kern w:val="0"/>
                <w:vertAlign w:val="baseline"/>
                <w:lang w:val="en-US" w:eastAsia="zh-CN"/>
              </w:rPr>
              <w:t>人</w:t>
            </w:r>
            <w:r>
              <w:rPr>
                <w:rFonts w:hint="eastAsia" w:asciiTheme="minorAscii" w:hAnsiTheme="minorAscii" w:eastAsiaTheme="minorEastAsia"/>
                <w:spacing w:val="227"/>
                <w:sz w:val="21"/>
                <w:vertAlign w:val="baseline"/>
                <w:lang w:val="en-US" w:eastAsia="zh-CN"/>
              </w:rPr>
              <w:t>:</w:t>
            </w:r>
            <w:r>
              <w:rPr>
                <w:rFonts w:hint="eastAsia" w:asciiTheme="minorAscii" w:hAnsiTheme="minorAscii" w:eastAsiaTheme="minorEastAsia"/>
                <w:spacing w:val="0"/>
                <w:kern w:val="0"/>
                <w:sz w:val="21"/>
                <w:u w:val="single"/>
                <w:vertAlign w:val="baseline"/>
                <w:lang w:val="en-US" w:eastAsia="zh-CN"/>
              </w:rPr>
              <w:t>吴亚红</w:t>
            </w:r>
          </w:p>
        </w:tc>
        <w:tc>
          <w:tcPr>
            <w:tcW w:w="2708" w:type="dxa"/>
          </w:tcPr>
          <w:p w14:paraId="264AE2FC">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审批时间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2025.01.10</w:t>
            </w:r>
          </w:p>
        </w:tc>
      </w:tr>
    </w:tbl>
    <w:p w14:paraId="50F804F1">
      <w:pPr>
        <w:keepNext w:val="0"/>
        <w:keepLines w:val="0"/>
        <w:pageBreakBefore w:val="0"/>
        <w:widowControl w:val="0"/>
        <w:kinsoku w:val="0"/>
        <w:wordWrap/>
        <w:overflowPunct/>
        <w:autoSpaceDE w:val="0"/>
        <w:autoSpaceDN w:val="0"/>
        <w:bidi w:val="0"/>
        <w:adjustRightInd w:val="0"/>
        <w:snapToGrid w:val="0"/>
        <w:textAlignment w:val="baseline"/>
      </w:pPr>
      <w:r>
        <w:br w:type="page"/>
      </w:r>
    </w:p>
    <w:p w14:paraId="6F69A0EB">
      <w:pPr>
        <w:keepNext w:val="0"/>
        <w:keepLines w:val="0"/>
        <w:pageBreakBefore w:val="0"/>
        <w:widowControl w:val="0"/>
        <w:kinsoku w:val="0"/>
        <w:wordWrap/>
        <w:overflowPunct/>
        <w:autoSpaceDE w:val="0"/>
        <w:autoSpaceDN w:val="0"/>
        <w:bidi w:val="0"/>
        <w:adjustRightInd w:val="0"/>
        <w:snapToGrid w:val="0"/>
        <w:spacing w:before="153" w:line="225" w:lineRule="auto"/>
        <w:ind w:left="3634"/>
        <w:textAlignment w:val="baseline"/>
        <w:rPr>
          <w:rFonts w:ascii="宋体" w:hAnsi="宋体" w:eastAsia="宋体" w:cs="宋体"/>
          <w:sz w:val="31"/>
          <w:szCs w:val="31"/>
        </w:rPr>
      </w:pPr>
      <w:r>
        <w:rPr>
          <w:rFonts w:ascii="宋体" w:hAnsi="宋体" w:eastAsia="宋体" w:cs="宋体"/>
          <w:b/>
          <w:bCs/>
          <w:spacing w:val="4"/>
          <w:sz w:val="31"/>
          <w:szCs w:val="31"/>
        </w:rPr>
        <w:t>修订记录</w:t>
      </w:r>
    </w:p>
    <w:tbl>
      <w:tblPr>
        <w:tblStyle w:val="26"/>
        <w:tblW w:w="8214"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317"/>
        <w:gridCol w:w="972"/>
        <w:gridCol w:w="1575"/>
        <w:gridCol w:w="1829"/>
        <w:gridCol w:w="1606"/>
        <w:gridCol w:w="915"/>
      </w:tblGrid>
      <w:tr w14:paraId="69FEF85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3" w:hRule="atLeast"/>
          <w:jc w:val="center"/>
        </w:trPr>
        <w:tc>
          <w:tcPr>
            <w:tcW w:w="1317" w:type="dxa"/>
          </w:tcPr>
          <w:p w14:paraId="37A5CC4C">
            <w:pPr>
              <w:keepNext w:val="0"/>
              <w:keepLines w:val="0"/>
              <w:pageBreakBefore w:val="0"/>
              <w:widowControl w:val="0"/>
              <w:kinsoku w:val="0"/>
              <w:wordWrap/>
              <w:overflowPunct/>
              <w:autoSpaceDE w:val="0"/>
              <w:autoSpaceDN w:val="0"/>
              <w:bidi w:val="0"/>
              <w:adjustRightInd w:val="0"/>
              <w:snapToGrid w:val="0"/>
              <w:spacing w:before="176" w:line="228" w:lineRule="auto"/>
              <w:ind w:left="0" w:leftChars="0" w:right="0" w:rightChars="0" w:firstLine="0" w:firstLineChars="0"/>
              <w:jc w:val="center"/>
              <w:textAlignment w:val="baseline"/>
              <w:rPr>
                <w:rFonts w:ascii="宋体" w:hAnsi="宋体" w:eastAsia="宋体" w:cs="宋体"/>
                <w:sz w:val="20"/>
                <w:szCs w:val="20"/>
              </w:rPr>
            </w:pPr>
            <w:r>
              <w:rPr>
                <w:rFonts w:hint="eastAsia" w:ascii="宋体" w:hAnsi="宋体" w:cs="宋体"/>
                <w:spacing w:val="-14"/>
                <w:sz w:val="20"/>
                <w:szCs w:val="20"/>
                <w:lang w:val="en-US" w:eastAsia="zh-CN"/>
              </w:rPr>
              <w:t>修订</w:t>
            </w:r>
            <w:r>
              <w:rPr>
                <w:rFonts w:ascii="宋体" w:hAnsi="宋体" w:eastAsia="宋体" w:cs="宋体"/>
                <w:spacing w:val="-14"/>
                <w:sz w:val="20"/>
                <w:szCs w:val="20"/>
              </w:rPr>
              <w:t>日期</w:t>
            </w:r>
          </w:p>
        </w:tc>
        <w:tc>
          <w:tcPr>
            <w:tcW w:w="972" w:type="dxa"/>
          </w:tcPr>
          <w:p w14:paraId="5296301C">
            <w:pPr>
              <w:keepNext w:val="0"/>
              <w:keepLines w:val="0"/>
              <w:pageBreakBefore w:val="0"/>
              <w:widowControl w:val="0"/>
              <w:kinsoku w:val="0"/>
              <w:wordWrap/>
              <w:overflowPunct/>
              <w:autoSpaceDE w:val="0"/>
              <w:autoSpaceDN w:val="0"/>
              <w:bidi w:val="0"/>
              <w:adjustRightInd w:val="0"/>
              <w:snapToGrid w:val="0"/>
              <w:spacing w:before="175" w:line="227"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4"/>
                <w:sz w:val="20"/>
                <w:szCs w:val="20"/>
              </w:rPr>
              <w:t>版本</w:t>
            </w:r>
          </w:p>
        </w:tc>
        <w:tc>
          <w:tcPr>
            <w:tcW w:w="1575" w:type="dxa"/>
          </w:tcPr>
          <w:p w14:paraId="5122287E">
            <w:pPr>
              <w:keepNext w:val="0"/>
              <w:keepLines w:val="0"/>
              <w:pageBreakBefore w:val="0"/>
              <w:widowControl w:val="0"/>
              <w:kinsoku w:val="0"/>
              <w:wordWrap/>
              <w:overflowPunct/>
              <w:autoSpaceDE w:val="0"/>
              <w:autoSpaceDN w:val="0"/>
              <w:bidi w:val="0"/>
              <w:adjustRightInd w:val="0"/>
              <w:snapToGrid w:val="0"/>
              <w:spacing w:before="175"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变更说明</w:t>
            </w:r>
          </w:p>
        </w:tc>
        <w:tc>
          <w:tcPr>
            <w:tcW w:w="1829" w:type="dxa"/>
          </w:tcPr>
          <w:p w14:paraId="054E6580">
            <w:pPr>
              <w:keepNext w:val="0"/>
              <w:keepLines w:val="0"/>
              <w:pageBreakBefore w:val="0"/>
              <w:widowControl w:val="0"/>
              <w:kinsoku w:val="0"/>
              <w:wordWrap/>
              <w:overflowPunct/>
              <w:autoSpaceDE w:val="0"/>
              <w:autoSpaceDN w:val="0"/>
              <w:bidi w:val="0"/>
              <w:adjustRightInd w:val="0"/>
              <w:snapToGrid w:val="0"/>
              <w:spacing w:before="175" w:line="228" w:lineRule="auto"/>
              <w:ind w:left="0" w:leftChars="0" w:right="0" w:rightChars="0" w:firstLine="0" w:firstLineChars="0"/>
              <w:jc w:val="center"/>
              <w:textAlignment w:val="baseline"/>
              <w:rPr>
                <w:rFonts w:hint="eastAsia" w:ascii="宋体" w:hAnsi="宋体" w:eastAsia="宋体" w:cs="宋体"/>
                <w:spacing w:val="7"/>
                <w:sz w:val="20"/>
                <w:szCs w:val="20"/>
                <w:lang w:val="en-US" w:eastAsia="zh-CN"/>
              </w:rPr>
            </w:pPr>
            <w:r>
              <w:rPr>
                <w:rFonts w:hint="eastAsia" w:ascii="宋体" w:hAnsi="宋体" w:cs="宋体"/>
                <w:spacing w:val="7"/>
                <w:sz w:val="20"/>
                <w:szCs w:val="20"/>
                <w:lang w:val="en-US" w:eastAsia="zh-CN"/>
              </w:rPr>
              <w:t>修订人</w:t>
            </w:r>
          </w:p>
        </w:tc>
        <w:tc>
          <w:tcPr>
            <w:tcW w:w="1606" w:type="dxa"/>
          </w:tcPr>
          <w:p w14:paraId="7414005F">
            <w:pPr>
              <w:keepNext w:val="0"/>
              <w:keepLines w:val="0"/>
              <w:pageBreakBefore w:val="0"/>
              <w:widowControl w:val="0"/>
              <w:kinsoku w:val="0"/>
              <w:wordWrap/>
              <w:overflowPunct/>
              <w:autoSpaceDE w:val="0"/>
              <w:autoSpaceDN w:val="0"/>
              <w:bidi w:val="0"/>
              <w:adjustRightInd w:val="0"/>
              <w:snapToGrid w:val="0"/>
              <w:spacing w:before="175" w:line="228" w:lineRule="auto"/>
              <w:ind w:left="0" w:leftChars="0" w:right="0" w:rightChars="0" w:firstLine="0" w:firstLineChars="0"/>
              <w:jc w:val="center"/>
              <w:textAlignment w:val="baseline"/>
              <w:rPr>
                <w:rFonts w:hint="default" w:ascii="宋体" w:hAnsi="宋体" w:cs="宋体"/>
                <w:spacing w:val="7"/>
                <w:sz w:val="20"/>
                <w:szCs w:val="20"/>
                <w:lang w:val="en-US" w:eastAsia="zh-CN"/>
              </w:rPr>
            </w:pPr>
            <w:r>
              <w:rPr>
                <w:rFonts w:hint="eastAsia" w:ascii="宋体" w:hAnsi="宋体" w:cs="宋体"/>
                <w:spacing w:val="7"/>
                <w:sz w:val="20"/>
                <w:szCs w:val="20"/>
                <w:lang w:val="en-US" w:eastAsia="zh-CN"/>
              </w:rPr>
              <w:t>审批人</w:t>
            </w:r>
          </w:p>
        </w:tc>
        <w:tc>
          <w:tcPr>
            <w:tcW w:w="915" w:type="dxa"/>
          </w:tcPr>
          <w:p w14:paraId="64848046">
            <w:pPr>
              <w:keepNext w:val="0"/>
              <w:keepLines w:val="0"/>
              <w:pageBreakBefore w:val="0"/>
              <w:widowControl w:val="0"/>
              <w:kinsoku w:val="0"/>
              <w:wordWrap/>
              <w:overflowPunct/>
              <w:autoSpaceDE w:val="0"/>
              <w:autoSpaceDN w:val="0"/>
              <w:bidi w:val="0"/>
              <w:adjustRightInd w:val="0"/>
              <w:snapToGrid w:val="0"/>
              <w:spacing w:before="176" w:line="229"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批准人</w:t>
            </w:r>
          </w:p>
        </w:tc>
      </w:tr>
      <w:tr w14:paraId="74C9513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6" w:hRule="atLeast"/>
          <w:jc w:val="center"/>
        </w:trPr>
        <w:tc>
          <w:tcPr>
            <w:tcW w:w="1317" w:type="dxa"/>
          </w:tcPr>
          <w:p w14:paraId="18C77337">
            <w:pPr>
              <w:keepNext w:val="0"/>
              <w:keepLines w:val="0"/>
              <w:pageBreakBefore w:val="0"/>
              <w:widowControl w:val="0"/>
              <w:kinsoku w:val="0"/>
              <w:wordWrap/>
              <w:overflowPunct/>
              <w:autoSpaceDE w:val="0"/>
              <w:autoSpaceDN w:val="0"/>
              <w:bidi w:val="0"/>
              <w:adjustRightInd w:val="0"/>
              <w:snapToGrid w:val="0"/>
              <w:spacing w:before="173" w:line="267" w:lineRule="exact"/>
              <w:ind w:left="0" w:leftChars="0" w:right="0" w:rightChars="0" w:firstLine="0" w:firstLineChars="0"/>
              <w:jc w:val="center"/>
              <w:textAlignment w:val="baseline"/>
              <w:rPr>
                <w:rFonts w:hint="default" w:ascii="宋体" w:hAnsi="宋体" w:eastAsia="宋体" w:cs="宋体"/>
                <w:sz w:val="20"/>
                <w:szCs w:val="20"/>
                <w:lang w:val="en-US"/>
              </w:rPr>
            </w:pPr>
            <w:r>
              <w:rPr>
                <w:rFonts w:ascii="宋体" w:hAnsi="宋体" w:eastAsia="宋体" w:cs="宋体"/>
                <w:spacing w:val="3"/>
                <w:position w:val="1"/>
                <w:sz w:val="20"/>
                <w:szCs w:val="20"/>
              </w:rPr>
              <w:t>2022.06.20</w:t>
            </w:r>
          </w:p>
        </w:tc>
        <w:tc>
          <w:tcPr>
            <w:tcW w:w="972" w:type="dxa"/>
          </w:tcPr>
          <w:p w14:paraId="250C6CD5">
            <w:pPr>
              <w:keepNext w:val="0"/>
              <w:keepLines w:val="0"/>
              <w:pageBreakBefore w:val="0"/>
              <w:widowControl w:val="0"/>
              <w:kinsoku w:val="0"/>
              <w:wordWrap/>
              <w:overflowPunct/>
              <w:autoSpaceDE w:val="0"/>
              <w:autoSpaceDN w:val="0"/>
              <w:bidi w:val="0"/>
              <w:adjustRightInd w:val="0"/>
              <w:snapToGrid w:val="0"/>
              <w:spacing w:before="173" w:line="267" w:lineRule="exact"/>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4"/>
                <w:position w:val="1"/>
                <w:sz w:val="20"/>
                <w:szCs w:val="20"/>
              </w:rPr>
              <w:t>V1.0</w:t>
            </w:r>
          </w:p>
        </w:tc>
        <w:tc>
          <w:tcPr>
            <w:tcW w:w="1575" w:type="dxa"/>
          </w:tcPr>
          <w:p w14:paraId="649D6786">
            <w:pPr>
              <w:keepNext w:val="0"/>
              <w:keepLines w:val="0"/>
              <w:pageBreakBefore w:val="0"/>
              <w:widowControl w:val="0"/>
              <w:kinsoku w:val="0"/>
              <w:wordWrap/>
              <w:overflowPunct/>
              <w:autoSpaceDE w:val="0"/>
              <w:autoSpaceDN w:val="0"/>
              <w:bidi w:val="0"/>
              <w:adjustRightInd w:val="0"/>
              <w:snapToGrid w:val="0"/>
              <w:spacing w:before="172"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200"/>
                <w:kern w:val="0"/>
                <w:sz w:val="20"/>
                <w:szCs w:val="20"/>
              </w:rPr>
              <w:t>新</w:t>
            </w:r>
            <w:r>
              <w:rPr>
                <w:rFonts w:ascii="宋体" w:hAnsi="宋体" w:eastAsia="宋体" w:cs="宋体"/>
                <w:spacing w:val="0"/>
                <w:kern w:val="0"/>
                <w:sz w:val="20"/>
                <w:szCs w:val="20"/>
              </w:rPr>
              <w:t>建</w:t>
            </w:r>
          </w:p>
        </w:tc>
        <w:tc>
          <w:tcPr>
            <w:tcW w:w="1829" w:type="dxa"/>
          </w:tcPr>
          <w:p w14:paraId="6C5C3105">
            <w:pPr>
              <w:keepNext w:val="0"/>
              <w:keepLines w:val="0"/>
              <w:pageBreakBefore w:val="0"/>
              <w:widowControl w:val="0"/>
              <w:kinsoku w:val="0"/>
              <w:wordWrap/>
              <w:overflowPunct/>
              <w:autoSpaceDE w:val="0"/>
              <w:autoSpaceDN w:val="0"/>
              <w:bidi w:val="0"/>
              <w:adjustRightInd w:val="0"/>
              <w:snapToGrid w:val="0"/>
              <w:spacing w:before="173" w:line="229" w:lineRule="auto"/>
              <w:ind w:left="0" w:leftChars="0" w:right="0" w:rightChars="0" w:firstLine="0" w:firstLineChars="0"/>
              <w:jc w:val="center"/>
              <w:textAlignment w:val="baseline"/>
              <w:rPr>
                <w:rFonts w:ascii="宋体" w:hAnsi="宋体" w:eastAsia="宋体" w:cs="宋体"/>
                <w:spacing w:val="200"/>
                <w:kern w:val="0"/>
                <w:sz w:val="20"/>
                <w:szCs w:val="20"/>
              </w:rPr>
            </w:pPr>
            <w:r>
              <w:rPr>
                <w:rFonts w:hint="eastAsia" w:asciiTheme="minorAscii" w:hAnsiTheme="minorAscii" w:eastAsiaTheme="minorEastAsia"/>
                <w:spacing w:val="0"/>
                <w:kern w:val="0"/>
                <w:sz w:val="21"/>
                <w:vertAlign w:val="baseline"/>
                <w:lang w:val="en-US" w:eastAsia="zh-CN"/>
              </w:rPr>
              <w:t>程方</w:t>
            </w:r>
          </w:p>
        </w:tc>
        <w:tc>
          <w:tcPr>
            <w:tcW w:w="1606" w:type="dxa"/>
          </w:tcPr>
          <w:p w14:paraId="0B5E96C3">
            <w:pPr>
              <w:keepNext w:val="0"/>
              <w:keepLines w:val="0"/>
              <w:pageBreakBefore w:val="0"/>
              <w:widowControl w:val="0"/>
              <w:kinsoku w:val="0"/>
              <w:wordWrap/>
              <w:overflowPunct/>
              <w:autoSpaceDE w:val="0"/>
              <w:autoSpaceDN w:val="0"/>
              <w:bidi w:val="0"/>
              <w:adjustRightInd w:val="0"/>
              <w:snapToGrid w:val="0"/>
              <w:spacing w:before="172" w:line="228" w:lineRule="auto"/>
              <w:ind w:left="0" w:leftChars="0" w:right="0" w:rightChars="0" w:firstLine="0" w:firstLineChars="0"/>
              <w:jc w:val="center"/>
              <w:textAlignment w:val="baseline"/>
              <w:rPr>
                <w:rFonts w:ascii="宋体" w:hAnsi="宋体" w:eastAsia="宋体" w:cs="宋体"/>
                <w:spacing w:val="200"/>
                <w:kern w:val="0"/>
                <w:sz w:val="20"/>
                <w:szCs w:val="20"/>
              </w:rPr>
            </w:pPr>
            <w:r>
              <w:rPr>
                <w:rFonts w:hint="eastAsia"/>
              </w:rPr>
              <w:t>茅建根</w:t>
            </w:r>
          </w:p>
        </w:tc>
        <w:tc>
          <w:tcPr>
            <w:tcW w:w="915" w:type="dxa"/>
          </w:tcPr>
          <w:p w14:paraId="6952AA20">
            <w:pPr>
              <w:keepNext w:val="0"/>
              <w:keepLines w:val="0"/>
              <w:pageBreakBefore w:val="0"/>
              <w:widowControl w:val="0"/>
              <w:kinsoku w:val="0"/>
              <w:wordWrap/>
              <w:overflowPunct/>
              <w:autoSpaceDE w:val="0"/>
              <w:autoSpaceDN w:val="0"/>
              <w:bidi w:val="0"/>
              <w:adjustRightInd w:val="0"/>
              <w:snapToGrid w:val="0"/>
              <w:spacing w:before="173" w:line="229" w:lineRule="auto"/>
              <w:ind w:left="0" w:leftChars="0" w:right="0" w:rightChars="0" w:firstLine="0" w:firstLineChars="0"/>
              <w:jc w:val="center"/>
              <w:textAlignment w:val="baseline"/>
              <w:rPr>
                <w:rFonts w:ascii="宋体" w:hAnsi="宋体" w:eastAsia="宋体" w:cs="宋体"/>
                <w:sz w:val="20"/>
                <w:szCs w:val="20"/>
              </w:rPr>
            </w:pPr>
            <w:r>
              <w:rPr>
                <w:rFonts w:hint="eastAsia" w:asciiTheme="minorAscii" w:hAnsiTheme="minorAscii" w:eastAsiaTheme="minorEastAsia"/>
                <w:spacing w:val="0"/>
                <w:kern w:val="0"/>
                <w:sz w:val="21"/>
                <w:vertAlign w:val="baseline"/>
                <w:lang w:val="en-US" w:eastAsia="zh-CN"/>
              </w:rPr>
              <w:t>吴亚红</w:t>
            </w:r>
          </w:p>
        </w:tc>
      </w:tr>
      <w:tr w14:paraId="57FB8E2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jc w:val="center"/>
        </w:trPr>
        <w:tc>
          <w:tcPr>
            <w:tcW w:w="1317" w:type="dxa"/>
            <w:shd w:val="clear" w:color="auto" w:fill="auto"/>
          </w:tcPr>
          <w:p w14:paraId="627A229D">
            <w:pPr>
              <w:keepNext w:val="0"/>
              <w:keepLines w:val="0"/>
              <w:pageBreakBefore w:val="0"/>
              <w:widowControl w:val="0"/>
              <w:kinsoku w:val="0"/>
              <w:wordWrap/>
              <w:overflowPunct/>
              <w:autoSpaceDE w:val="0"/>
              <w:autoSpaceDN w:val="0"/>
              <w:bidi w:val="0"/>
              <w:adjustRightInd w:val="0"/>
              <w:snapToGrid w:val="0"/>
              <w:spacing w:before="173" w:line="267" w:lineRule="exact"/>
              <w:ind w:left="0" w:leftChars="0" w:right="0" w:rightChars="0" w:firstLine="0" w:firstLineChars="0"/>
              <w:jc w:val="center"/>
              <w:textAlignment w:val="baseline"/>
              <w:rPr>
                <w:rFonts w:hint="default" w:ascii="宋体" w:hAnsi="宋体" w:eastAsia="宋体" w:cs="宋体"/>
                <w:snapToGrid w:val="0"/>
                <w:color w:val="000000"/>
                <w:kern w:val="0"/>
                <w:sz w:val="20"/>
                <w:szCs w:val="20"/>
                <w:lang w:val="en-US" w:eastAsia="en-US" w:bidi="ar-SA"/>
              </w:rPr>
            </w:pPr>
            <w:r>
              <w:rPr>
                <w:rFonts w:ascii="宋体" w:hAnsi="宋体" w:eastAsia="宋体" w:cs="宋体"/>
                <w:spacing w:val="3"/>
                <w:position w:val="1"/>
                <w:sz w:val="20"/>
                <w:szCs w:val="20"/>
              </w:rPr>
              <w:t>2025.01.</w:t>
            </w:r>
            <w:r>
              <w:rPr>
                <w:rFonts w:hint="eastAsia" w:ascii="宋体" w:hAnsi="宋体" w:cs="宋体"/>
                <w:spacing w:val="3"/>
                <w:position w:val="1"/>
                <w:sz w:val="20"/>
                <w:szCs w:val="20"/>
                <w:lang w:val="en-US" w:eastAsia="zh-CN"/>
              </w:rPr>
              <w:t>10</w:t>
            </w:r>
          </w:p>
        </w:tc>
        <w:tc>
          <w:tcPr>
            <w:tcW w:w="972" w:type="dxa"/>
            <w:shd w:val="clear" w:color="auto" w:fill="auto"/>
          </w:tcPr>
          <w:p w14:paraId="380E44B7">
            <w:pPr>
              <w:keepNext w:val="0"/>
              <w:keepLines w:val="0"/>
              <w:pageBreakBefore w:val="0"/>
              <w:widowControl w:val="0"/>
              <w:kinsoku w:val="0"/>
              <w:wordWrap/>
              <w:overflowPunct/>
              <w:autoSpaceDE w:val="0"/>
              <w:autoSpaceDN w:val="0"/>
              <w:bidi w:val="0"/>
              <w:adjustRightInd w:val="0"/>
              <w:snapToGrid w:val="0"/>
              <w:spacing w:before="173" w:line="267" w:lineRule="exact"/>
              <w:ind w:left="0" w:leftChars="0" w:right="0" w:rightChars="0" w:firstLine="0" w:firstLineChars="0"/>
              <w:jc w:val="center"/>
              <w:textAlignment w:val="baseline"/>
              <w:rPr>
                <w:rFonts w:ascii="宋体" w:hAnsi="宋体" w:eastAsia="宋体" w:cs="宋体"/>
                <w:snapToGrid w:val="0"/>
                <w:color w:val="000000"/>
                <w:kern w:val="0"/>
                <w:sz w:val="20"/>
                <w:szCs w:val="20"/>
                <w:lang w:val="en-US" w:eastAsia="en-US" w:bidi="ar-SA"/>
              </w:rPr>
            </w:pPr>
            <w:r>
              <w:rPr>
                <w:rFonts w:ascii="宋体" w:hAnsi="宋体" w:eastAsia="宋体" w:cs="宋体"/>
                <w:spacing w:val="4"/>
                <w:position w:val="1"/>
                <w:sz w:val="20"/>
                <w:szCs w:val="20"/>
              </w:rPr>
              <w:t>V</w:t>
            </w:r>
            <w:r>
              <w:rPr>
                <w:rFonts w:hint="eastAsia" w:ascii="宋体" w:hAnsi="宋体" w:cs="宋体"/>
                <w:spacing w:val="4"/>
                <w:position w:val="1"/>
                <w:sz w:val="20"/>
                <w:szCs w:val="20"/>
                <w:lang w:val="en-US" w:eastAsia="zh-CN"/>
              </w:rPr>
              <w:t>2</w:t>
            </w:r>
            <w:r>
              <w:rPr>
                <w:rFonts w:ascii="宋体" w:hAnsi="宋体" w:eastAsia="宋体" w:cs="宋体"/>
                <w:spacing w:val="4"/>
                <w:position w:val="1"/>
                <w:sz w:val="20"/>
                <w:szCs w:val="20"/>
              </w:rPr>
              <w:t>.0</w:t>
            </w:r>
          </w:p>
        </w:tc>
        <w:tc>
          <w:tcPr>
            <w:tcW w:w="1575" w:type="dxa"/>
            <w:shd w:val="clear" w:color="auto" w:fill="auto"/>
          </w:tcPr>
          <w:p w14:paraId="2D247567">
            <w:pPr>
              <w:keepNext w:val="0"/>
              <w:keepLines w:val="0"/>
              <w:pageBreakBefore w:val="0"/>
              <w:widowControl w:val="0"/>
              <w:kinsoku w:val="0"/>
              <w:wordWrap/>
              <w:overflowPunct/>
              <w:autoSpaceDE w:val="0"/>
              <w:autoSpaceDN w:val="0"/>
              <w:bidi w:val="0"/>
              <w:adjustRightInd w:val="0"/>
              <w:snapToGrid w:val="0"/>
              <w:spacing w:before="172" w:line="228" w:lineRule="auto"/>
              <w:ind w:left="0" w:leftChars="0" w:right="0" w:rightChars="0" w:firstLine="0" w:firstLineChars="0"/>
              <w:jc w:val="center"/>
              <w:textAlignment w:val="baseline"/>
              <w:rPr>
                <w:rFonts w:hint="default" w:ascii="宋体" w:hAnsi="宋体" w:eastAsia="宋体" w:cs="宋体"/>
                <w:snapToGrid w:val="0"/>
                <w:color w:val="000000"/>
                <w:kern w:val="0"/>
                <w:sz w:val="20"/>
                <w:szCs w:val="20"/>
                <w:lang w:val="en-US" w:eastAsia="zh-CN" w:bidi="ar-SA"/>
              </w:rPr>
            </w:pPr>
            <w:r>
              <w:rPr>
                <w:rFonts w:hint="eastAsia" w:ascii="宋体" w:hAnsi="宋体" w:cs="宋体"/>
                <w:snapToGrid w:val="0"/>
                <w:color w:val="000000"/>
                <w:kern w:val="0"/>
                <w:sz w:val="20"/>
                <w:szCs w:val="20"/>
                <w:lang w:val="en-US" w:eastAsia="zh-CN" w:bidi="ar-SA"/>
              </w:rPr>
              <w:t>完善与事件管理的关系</w:t>
            </w:r>
          </w:p>
        </w:tc>
        <w:tc>
          <w:tcPr>
            <w:tcW w:w="1829" w:type="dxa"/>
            <w:shd w:val="clear" w:color="auto" w:fill="auto"/>
          </w:tcPr>
          <w:p w14:paraId="3164D88A">
            <w:pPr>
              <w:keepNext w:val="0"/>
              <w:keepLines w:val="0"/>
              <w:pageBreakBefore w:val="0"/>
              <w:widowControl w:val="0"/>
              <w:kinsoku w:val="0"/>
              <w:wordWrap/>
              <w:overflowPunct/>
              <w:autoSpaceDE w:val="0"/>
              <w:autoSpaceDN w:val="0"/>
              <w:bidi w:val="0"/>
              <w:adjustRightInd w:val="0"/>
              <w:snapToGrid w:val="0"/>
              <w:spacing w:before="173" w:line="229" w:lineRule="auto"/>
              <w:ind w:left="0" w:leftChars="0" w:right="0" w:rightChars="0" w:firstLine="0" w:firstLineChars="0"/>
              <w:jc w:val="center"/>
              <w:textAlignment w:val="baseline"/>
              <w:rPr>
                <w:rFonts w:ascii="宋体" w:hAnsi="宋体" w:eastAsia="宋体" w:cs="宋体"/>
                <w:snapToGrid w:val="0"/>
                <w:color w:val="000000"/>
                <w:spacing w:val="200"/>
                <w:kern w:val="0"/>
                <w:sz w:val="20"/>
                <w:szCs w:val="20"/>
                <w:lang w:val="en-US" w:eastAsia="en-US" w:bidi="ar-SA"/>
              </w:rPr>
            </w:pPr>
            <w:r>
              <w:rPr>
                <w:rFonts w:hint="eastAsia" w:asciiTheme="minorAscii" w:hAnsiTheme="minorAscii" w:eastAsiaTheme="minorEastAsia"/>
                <w:spacing w:val="0"/>
                <w:kern w:val="0"/>
                <w:sz w:val="21"/>
                <w:vertAlign w:val="baseline"/>
                <w:lang w:val="en-US" w:eastAsia="zh-CN"/>
              </w:rPr>
              <w:t>程方</w:t>
            </w:r>
          </w:p>
        </w:tc>
        <w:tc>
          <w:tcPr>
            <w:tcW w:w="1606" w:type="dxa"/>
            <w:shd w:val="clear" w:color="auto" w:fill="auto"/>
          </w:tcPr>
          <w:p w14:paraId="295943F8">
            <w:pPr>
              <w:keepNext w:val="0"/>
              <w:keepLines w:val="0"/>
              <w:pageBreakBefore w:val="0"/>
              <w:widowControl w:val="0"/>
              <w:kinsoku w:val="0"/>
              <w:wordWrap/>
              <w:overflowPunct/>
              <w:autoSpaceDE w:val="0"/>
              <w:autoSpaceDN w:val="0"/>
              <w:bidi w:val="0"/>
              <w:adjustRightInd w:val="0"/>
              <w:snapToGrid w:val="0"/>
              <w:spacing w:before="172" w:line="228" w:lineRule="auto"/>
              <w:ind w:left="0" w:leftChars="0" w:right="0" w:rightChars="0" w:firstLine="0" w:firstLineChars="0"/>
              <w:jc w:val="center"/>
              <w:textAlignment w:val="baseline"/>
              <w:rPr>
                <w:rFonts w:ascii="宋体" w:hAnsi="宋体" w:eastAsia="宋体" w:cs="宋体"/>
                <w:snapToGrid w:val="0"/>
                <w:color w:val="000000"/>
                <w:spacing w:val="200"/>
                <w:kern w:val="0"/>
                <w:sz w:val="20"/>
                <w:szCs w:val="20"/>
                <w:lang w:val="en-US" w:eastAsia="en-US" w:bidi="ar-SA"/>
              </w:rPr>
            </w:pPr>
            <w:r>
              <w:rPr>
                <w:rFonts w:hint="eastAsia"/>
              </w:rPr>
              <w:t>茅建根</w:t>
            </w:r>
          </w:p>
        </w:tc>
        <w:tc>
          <w:tcPr>
            <w:tcW w:w="915" w:type="dxa"/>
            <w:shd w:val="clear" w:color="auto" w:fill="auto"/>
          </w:tcPr>
          <w:p w14:paraId="10D547C7">
            <w:pPr>
              <w:keepNext w:val="0"/>
              <w:keepLines w:val="0"/>
              <w:pageBreakBefore w:val="0"/>
              <w:widowControl w:val="0"/>
              <w:kinsoku w:val="0"/>
              <w:wordWrap/>
              <w:overflowPunct/>
              <w:autoSpaceDE w:val="0"/>
              <w:autoSpaceDN w:val="0"/>
              <w:bidi w:val="0"/>
              <w:adjustRightInd w:val="0"/>
              <w:snapToGrid w:val="0"/>
              <w:spacing w:before="173" w:line="229" w:lineRule="auto"/>
              <w:ind w:left="0" w:leftChars="0" w:right="0" w:rightChars="0" w:firstLine="0" w:firstLineChars="0"/>
              <w:jc w:val="center"/>
              <w:textAlignment w:val="baseline"/>
              <w:rPr>
                <w:rFonts w:ascii="宋体" w:hAnsi="宋体" w:eastAsia="宋体" w:cs="宋体"/>
                <w:snapToGrid w:val="0"/>
                <w:color w:val="000000"/>
                <w:kern w:val="0"/>
                <w:sz w:val="20"/>
                <w:szCs w:val="20"/>
                <w:lang w:val="en-US" w:eastAsia="en-US" w:bidi="ar-SA"/>
              </w:rPr>
            </w:pPr>
            <w:r>
              <w:rPr>
                <w:rFonts w:hint="eastAsia" w:asciiTheme="minorAscii" w:hAnsiTheme="minorAscii" w:eastAsiaTheme="minorEastAsia"/>
                <w:spacing w:val="0"/>
                <w:kern w:val="0"/>
                <w:sz w:val="21"/>
                <w:vertAlign w:val="baseline"/>
                <w:lang w:val="en-US" w:eastAsia="zh-CN"/>
              </w:rPr>
              <w:t>吴亚红</w:t>
            </w:r>
          </w:p>
        </w:tc>
      </w:tr>
      <w:tr w14:paraId="7C177D1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jc w:val="center"/>
        </w:trPr>
        <w:tc>
          <w:tcPr>
            <w:tcW w:w="1317" w:type="dxa"/>
          </w:tcPr>
          <w:p w14:paraId="3D8F92D6">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72" w:type="dxa"/>
          </w:tcPr>
          <w:p w14:paraId="7EBDE499">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575" w:type="dxa"/>
          </w:tcPr>
          <w:p w14:paraId="1D66474C">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829" w:type="dxa"/>
          </w:tcPr>
          <w:p w14:paraId="61160E68">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606" w:type="dxa"/>
          </w:tcPr>
          <w:p w14:paraId="041CA37B">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15" w:type="dxa"/>
          </w:tcPr>
          <w:p w14:paraId="0A65940E">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r>
      <w:tr w14:paraId="4481DA4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7" w:hRule="atLeast"/>
          <w:jc w:val="center"/>
        </w:trPr>
        <w:tc>
          <w:tcPr>
            <w:tcW w:w="1317" w:type="dxa"/>
          </w:tcPr>
          <w:p w14:paraId="57B3C69E">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72" w:type="dxa"/>
          </w:tcPr>
          <w:p w14:paraId="70A24454">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575" w:type="dxa"/>
          </w:tcPr>
          <w:p w14:paraId="3FF09A8D">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829" w:type="dxa"/>
          </w:tcPr>
          <w:p w14:paraId="4859331F">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606" w:type="dxa"/>
          </w:tcPr>
          <w:p w14:paraId="457F8505">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15" w:type="dxa"/>
          </w:tcPr>
          <w:p w14:paraId="685EE67A">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r>
    </w:tbl>
    <w:p w14:paraId="40BF8B92">
      <w:pPr>
        <w:keepNext w:val="0"/>
        <w:keepLines w:val="0"/>
        <w:pageBreakBefore w:val="0"/>
        <w:widowControl w:val="0"/>
        <w:kinsoku w:val="0"/>
        <w:wordWrap/>
        <w:overflowPunct/>
        <w:autoSpaceDE w:val="0"/>
        <w:autoSpaceDN w:val="0"/>
        <w:bidi w:val="0"/>
        <w:adjustRightInd w:val="0"/>
        <w:snapToGrid w:val="0"/>
        <w:textAlignment w:val="baseline"/>
      </w:pPr>
      <w:r>
        <w:br w:type="page"/>
      </w:r>
    </w:p>
    <w:sdt>
      <w:sdtPr>
        <w:rPr>
          <w:rFonts w:ascii="宋体" w:hAnsi="宋体" w:eastAsia="宋体" w:cs="Arial"/>
          <w:snapToGrid w:val="0"/>
          <w:color w:val="000000"/>
          <w:kern w:val="0"/>
          <w:sz w:val="21"/>
          <w:szCs w:val="21"/>
          <w:lang w:val="en-US" w:eastAsia="en-US" w:bidi="ar-SA"/>
        </w:rPr>
        <w:id w:val="147468666"/>
        <w:docPartObj>
          <w:docPartGallery w:val="Table of Contents"/>
          <w:docPartUnique/>
        </w:docPartObj>
      </w:sdtPr>
      <w:sdtEndPr>
        <w:rPr>
          <w:rFonts w:hint="eastAsia" w:ascii="宋体" w:hAnsi="宋体" w:eastAsia="宋体" w:cs="宋体"/>
          <w:snapToGrid w:val="0"/>
          <w:color w:val="000000"/>
          <w:kern w:val="0"/>
          <w:sz w:val="24"/>
          <w:szCs w:val="24"/>
          <w:lang w:val="en-US" w:eastAsia="en-US" w:bidi="ar-SA"/>
        </w:rPr>
      </w:sdtEndPr>
      <w:sdtContent>
        <w:p w14:paraId="7E2EA254">
          <w:pPr>
            <w:keepNext w:val="0"/>
            <w:keepLines w:val="0"/>
            <w:pageBreakBefore w:val="0"/>
            <w:widowControl w:val="0"/>
            <w:kinsoku w:val="0"/>
            <w:wordWrap/>
            <w:overflowPunct/>
            <w:autoSpaceDE w:val="0"/>
            <w:autoSpaceDN w:val="0"/>
            <w:bidi w:val="0"/>
            <w:adjustRightInd w:val="0"/>
            <w:snapToGrid w:val="0"/>
            <w:spacing w:before="0" w:beforeLines="0" w:after="0" w:afterLines="0" w:line="240" w:lineRule="auto"/>
            <w:ind w:left="0" w:leftChars="0" w:right="0" w:rightChars="0" w:firstLine="0" w:firstLineChars="0"/>
            <w:jc w:val="center"/>
            <w:textAlignment w:val="baseline"/>
            <w:rPr>
              <w:rFonts w:hint="eastAsia" w:ascii="宋体" w:hAnsi="宋体" w:eastAsia="宋体" w:cs="宋体"/>
              <w:sz w:val="24"/>
              <w:szCs w:val="24"/>
            </w:rPr>
          </w:pPr>
          <w:r>
            <w:rPr>
              <w:rFonts w:hint="eastAsia" w:ascii="宋体" w:hAnsi="宋体" w:eastAsia="宋体" w:cs="宋体"/>
              <w:sz w:val="24"/>
              <w:szCs w:val="24"/>
            </w:rPr>
            <w:t>目录</w:t>
          </w:r>
        </w:p>
        <w:p w14:paraId="61956075">
          <w:pPr>
            <w:pStyle w:val="16"/>
            <w:tabs>
              <w:tab w:val="right" w:leader="dot" w:pos="8306"/>
            </w:tabs>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TOC \o "1-3" \h \u </w:instrText>
          </w:r>
          <w:r>
            <w:rPr>
              <w:rFonts w:hint="eastAsia" w:ascii="宋体" w:hAnsi="宋体" w:eastAsia="宋体" w:cs="宋体"/>
              <w:sz w:val="24"/>
              <w:szCs w:val="24"/>
            </w:rPr>
            <w:fldChar w:fldCharType="separate"/>
          </w:r>
          <w:r>
            <w:rPr>
              <w:rFonts w:hint="eastAsia" w:ascii="宋体" w:hAnsi="宋体" w:eastAsia="宋体" w:cs="宋体"/>
              <w:szCs w:val="24"/>
            </w:rPr>
            <w:fldChar w:fldCharType="begin"/>
          </w:r>
          <w:r>
            <w:rPr>
              <w:rFonts w:hint="eastAsia" w:ascii="宋体" w:hAnsi="宋体" w:eastAsia="宋体" w:cs="宋体"/>
              <w:szCs w:val="24"/>
            </w:rPr>
            <w:instrText xml:space="preserve"> HYPERLINK \l _Toc15581 </w:instrText>
          </w:r>
          <w:r>
            <w:rPr>
              <w:rFonts w:hint="eastAsia" w:ascii="宋体" w:hAnsi="宋体" w:eastAsia="宋体" w:cs="宋体"/>
              <w:szCs w:val="24"/>
            </w:rPr>
            <w:fldChar w:fldCharType="separate"/>
          </w:r>
          <w:r>
            <w:rPr>
              <w:rFonts w:hint="eastAsia"/>
              <w:lang w:val="en-US" w:eastAsia="zh-CN"/>
            </w:rPr>
            <w:t>桐乡华数广电网络有限公司</w:t>
          </w:r>
          <w:r>
            <w:tab/>
          </w:r>
          <w:r>
            <w:fldChar w:fldCharType="begin"/>
          </w:r>
          <w:r>
            <w:instrText xml:space="preserve"> PAGEREF _Toc15581 \h </w:instrText>
          </w:r>
          <w:r>
            <w:fldChar w:fldCharType="separate"/>
          </w:r>
          <w:r>
            <w:t>1</w:t>
          </w:r>
          <w:r>
            <w:fldChar w:fldCharType="end"/>
          </w:r>
          <w:r>
            <w:rPr>
              <w:rFonts w:hint="eastAsia" w:ascii="宋体" w:hAnsi="宋体" w:eastAsia="宋体" w:cs="宋体"/>
              <w:szCs w:val="24"/>
            </w:rPr>
            <w:fldChar w:fldCharType="end"/>
          </w:r>
        </w:p>
        <w:p w14:paraId="7AAA8DC2">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_Toc8098 </w:instrText>
          </w:r>
          <w:r>
            <w:rPr>
              <w:rFonts w:hint="eastAsia" w:ascii="宋体" w:hAnsi="宋体" w:eastAsia="宋体" w:cs="宋体"/>
              <w:szCs w:val="24"/>
            </w:rPr>
            <w:fldChar w:fldCharType="separate"/>
          </w:r>
          <w:r>
            <w:rPr>
              <w:rFonts w:hint="eastAsia"/>
              <w:lang w:val="en-US" w:eastAsia="zh-CN"/>
            </w:rPr>
            <w:t>运维服务目录管理制度</w:t>
          </w:r>
          <w:r>
            <w:tab/>
          </w:r>
          <w:r>
            <w:fldChar w:fldCharType="begin"/>
          </w:r>
          <w:r>
            <w:instrText xml:space="preserve"> PAGEREF _Toc8098 \h </w:instrText>
          </w:r>
          <w:r>
            <w:fldChar w:fldCharType="separate"/>
          </w:r>
          <w:r>
            <w:t>1</w:t>
          </w:r>
          <w:r>
            <w:fldChar w:fldCharType="end"/>
          </w:r>
          <w:r>
            <w:rPr>
              <w:rFonts w:hint="eastAsia" w:ascii="宋体" w:hAnsi="宋体" w:eastAsia="宋体" w:cs="宋体"/>
              <w:szCs w:val="24"/>
            </w:rPr>
            <w:fldChar w:fldCharType="end"/>
          </w:r>
        </w:p>
        <w:p w14:paraId="0DD7C018">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_Toc4789 </w:instrText>
          </w:r>
          <w:r>
            <w:rPr>
              <w:rFonts w:hint="eastAsia" w:ascii="宋体" w:hAnsi="宋体" w:eastAsia="宋体" w:cs="宋体"/>
              <w:szCs w:val="24"/>
            </w:rPr>
            <w:fldChar w:fldCharType="separate"/>
          </w:r>
          <w:r>
            <w:rPr>
              <w:rFonts w:hint="default"/>
              <w:lang w:val="en-US" w:eastAsia="zh-CN"/>
            </w:rPr>
            <w:t xml:space="preserve">1. </w:t>
          </w:r>
          <w:r>
            <w:rPr>
              <w:rFonts w:hint="eastAsia"/>
              <w:lang w:val="en-US" w:eastAsia="zh-CN"/>
            </w:rPr>
            <w:t>总则</w:t>
          </w:r>
          <w:r>
            <w:tab/>
          </w:r>
          <w:r>
            <w:fldChar w:fldCharType="begin"/>
          </w:r>
          <w:r>
            <w:instrText xml:space="preserve"> PAGEREF _Toc4789 \h </w:instrText>
          </w:r>
          <w:r>
            <w:fldChar w:fldCharType="separate"/>
          </w:r>
          <w:r>
            <w:t>4</w:t>
          </w:r>
          <w:r>
            <w:fldChar w:fldCharType="end"/>
          </w:r>
          <w:r>
            <w:rPr>
              <w:rFonts w:hint="eastAsia" w:ascii="宋体" w:hAnsi="宋体" w:eastAsia="宋体" w:cs="宋体"/>
              <w:szCs w:val="24"/>
            </w:rPr>
            <w:fldChar w:fldCharType="end"/>
          </w:r>
        </w:p>
        <w:p w14:paraId="15FB6F64">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_Toc31874 </w:instrText>
          </w:r>
          <w:r>
            <w:rPr>
              <w:rFonts w:hint="eastAsia" w:ascii="宋体" w:hAnsi="宋体" w:eastAsia="宋体" w:cs="宋体"/>
              <w:szCs w:val="24"/>
            </w:rPr>
            <w:fldChar w:fldCharType="separate"/>
          </w:r>
          <w:r>
            <w:rPr>
              <w:rFonts w:hint="default"/>
              <w:lang w:val="en-US" w:eastAsia="zh-CN"/>
            </w:rPr>
            <w:t xml:space="preserve">1.1. </w:t>
          </w:r>
          <w:r>
            <w:rPr>
              <w:rFonts w:hint="eastAsia"/>
              <w:lang w:val="en-US" w:eastAsia="zh-CN"/>
            </w:rPr>
            <w:t>目的</w:t>
          </w:r>
          <w:r>
            <w:tab/>
          </w:r>
          <w:r>
            <w:fldChar w:fldCharType="begin"/>
          </w:r>
          <w:r>
            <w:instrText xml:space="preserve"> PAGEREF _Toc31874 \h </w:instrText>
          </w:r>
          <w:r>
            <w:fldChar w:fldCharType="separate"/>
          </w:r>
          <w:r>
            <w:t>4</w:t>
          </w:r>
          <w:r>
            <w:fldChar w:fldCharType="end"/>
          </w:r>
          <w:r>
            <w:rPr>
              <w:rFonts w:hint="eastAsia" w:ascii="宋体" w:hAnsi="宋体" w:eastAsia="宋体" w:cs="宋体"/>
              <w:szCs w:val="24"/>
            </w:rPr>
            <w:fldChar w:fldCharType="end"/>
          </w:r>
        </w:p>
        <w:p w14:paraId="69C9DD84">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_Toc30332 </w:instrText>
          </w:r>
          <w:r>
            <w:rPr>
              <w:rFonts w:hint="eastAsia" w:ascii="宋体" w:hAnsi="宋体" w:eastAsia="宋体" w:cs="宋体"/>
              <w:szCs w:val="24"/>
            </w:rPr>
            <w:fldChar w:fldCharType="separate"/>
          </w:r>
          <w:r>
            <w:rPr>
              <w:rFonts w:hint="default"/>
              <w:lang w:val="en-US" w:eastAsia="zh-CN"/>
            </w:rPr>
            <w:t xml:space="preserve">1.2. </w:t>
          </w:r>
          <w:r>
            <w:rPr>
              <w:rFonts w:hint="eastAsia"/>
              <w:lang w:val="en-US" w:eastAsia="zh-CN"/>
            </w:rPr>
            <w:t>适用范围</w:t>
          </w:r>
          <w:r>
            <w:tab/>
          </w:r>
          <w:r>
            <w:fldChar w:fldCharType="begin"/>
          </w:r>
          <w:r>
            <w:instrText xml:space="preserve"> PAGEREF _Toc30332 \h </w:instrText>
          </w:r>
          <w:r>
            <w:fldChar w:fldCharType="separate"/>
          </w:r>
          <w:r>
            <w:t>4</w:t>
          </w:r>
          <w:r>
            <w:fldChar w:fldCharType="end"/>
          </w:r>
          <w:r>
            <w:rPr>
              <w:rFonts w:hint="eastAsia" w:ascii="宋体" w:hAnsi="宋体" w:eastAsia="宋体" w:cs="宋体"/>
              <w:szCs w:val="24"/>
            </w:rPr>
            <w:fldChar w:fldCharType="end"/>
          </w:r>
        </w:p>
        <w:p w14:paraId="25DB5279">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_Toc8478 </w:instrText>
          </w:r>
          <w:r>
            <w:rPr>
              <w:rFonts w:hint="eastAsia" w:ascii="宋体" w:hAnsi="宋体" w:eastAsia="宋体" w:cs="宋体"/>
              <w:szCs w:val="24"/>
            </w:rPr>
            <w:fldChar w:fldCharType="separate"/>
          </w:r>
          <w:r>
            <w:rPr>
              <w:rFonts w:hint="default"/>
              <w:lang w:val="en-US" w:eastAsia="zh-CN"/>
            </w:rPr>
            <w:t xml:space="preserve">1.3. </w:t>
          </w:r>
          <w:r>
            <w:rPr>
              <w:rFonts w:hint="eastAsia"/>
              <w:lang w:val="en-US" w:eastAsia="zh-CN"/>
            </w:rPr>
            <w:t>术语与定义</w:t>
          </w:r>
          <w:r>
            <w:tab/>
          </w:r>
          <w:r>
            <w:fldChar w:fldCharType="begin"/>
          </w:r>
          <w:r>
            <w:instrText xml:space="preserve"> PAGEREF _Toc8478 \h </w:instrText>
          </w:r>
          <w:r>
            <w:fldChar w:fldCharType="separate"/>
          </w:r>
          <w:r>
            <w:t>4</w:t>
          </w:r>
          <w:r>
            <w:fldChar w:fldCharType="end"/>
          </w:r>
          <w:r>
            <w:rPr>
              <w:rFonts w:hint="eastAsia" w:ascii="宋体" w:hAnsi="宋体" w:eastAsia="宋体" w:cs="宋体"/>
              <w:szCs w:val="24"/>
            </w:rPr>
            <w:fldChar w:fldCharType="end"/>
          </w:r>
        </w:p>
        <w:p w14:paraId="149079F1">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_Toc23415 </w:instrText>
          </w:r>
          <w:r>
            <w:rPr>
              <w:rFonts w:hint="eastAsia" w:ascii="宋体" w:hAnsi="宋体" w:eastAsia="宋体" w:cs="宋体"/>
              <w:szCs w:val="24"/>
            </w:rPr>
            <w:fldChar w:fldCharType="separate"/>
          </w:r>
          <w:r>
            <w:rPr>
              <w:rFonts w:hint="default"/>
              <w:lang w:val="en-US" w:eastAsia="zh-CN"/>
            </w:rPr>
            <w:t xml:space="preserve">1.4. </w:t>
          </w:r>
          <w:r>
            <w:rPr>
              <w:rFonts w:hint="eastAsia"/>
              <w:lang w:val="en-US" w:eastAsia="zh-CN"/>
            </w:rPr>
            <w:t>与其他流程的关系</w:t>
          </w:r>
          <w:r>
            <w:tab/>
          </w:r>
          <w:r>
            <w:fldChar w:fldCharType="begin"/>
          </w:r>
          <w:r>
            <w:instrText xml:space="preserve"> PAGEREF _Toc23415 \h </w:instrText>
          </w:r>
          <w:r>
            <w:fldChar w:fldCharType="separate"/>
          </w:r>
          <w:r>
            <w:t>4</w:t>
          </w:r>
          <w:r>
            <w:fldChar w:fldCharType="end"/>
          </w:r>
          <w:r>
            <w:rPr>
              <w:rFonts w:hint="eastAsia" w:ascii="宋体" w:hAnsi="宋体" w:eastAsia="宋体" w:cs="宋体"/>
              <w:szCs w:val="24"/>
            </w:rPr>
            <w:fldChar w:fldCharType="end"/>
          </w:r>
        </w:p>
        <w:p w14:paraId="03991667">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_Toc12766 </w:instrText>
          </w:r>
          <w:r>
            <w:rPr>
              <w:rFonts w:hint="eastAsia" w:ascii="宋体" w:hAnsi="宋体" w:eastAsia="宋体" w:cs="宋体"/>
              <w:szCs w:val="24"/>
            </w:rPr>
            <w:fldChar w:fldCharType="separate"/>
          </w:r>
          <w:r>
            <w:rPr>
              <w:rFonts w:hint="default"/>
              <w:lang w:val="en-US" w:eastAsia="zh-CN"/>
            </w:rPr>
            <w:t xml:space="preserve">2. </w:t>
          </w:r>
          <w:r>
            <w:rPr>
              <w:rFonts w:hint="eastAsia"/>
              <w:lang w:val="en-US" w:eastAsia="zh-CN"/>
            </w:rPr>
            <w:t>角色与职责</w:t>
          </w:r>
          <w:r>
            <w:tab/>
          </w:r>
          <w:r>
            <w:fldChar w:fldCharType="begin"/>
          </w:r>
          <w:r>
            <w:instrText xml:space="preserve"> PAGEREF _Toc12766 \h </w:instrText>
          </w:r>
          <w:r>
            <w:fldChar w:fldCharType="separate"/>
          </w:r>
          <w:r>
            <w:t>5</w:t>
          </w:r>
          <w:r>
            <w:fldChar w:fldCharType="end"/>
          </w:r>
          <w:r>
            <w:rPr>
              <w:rFonts w:hint="eastAsia" w:ascii="宋体" w:hAnsi="宋体" w:eastAsia="宋体" w:cs="宋体"/>
              <w:szCs w:val="24"/>
            </w:rPr>
            <w:fldChar w:fldCharType="end"/>
          </w:r>
        </w:p>
        <w:p w14:paraId="3ECC88BF">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_Toc16835 </w:instrText>
          </w:r>
          <w:r>
            <w:rPr>
              <w:rFonts w:hint="eastAsia" w:ascii="宋体" w:hAnsi="宋体" w:eastAsia="宋体" w:cs="宋体"/>
              <w:szCs w:val="24"/>
            </w:rPr>
            <w:fldChar w:fldCharType="separate"/>
          </w:r>
          <w:r>
            <w:rPr>
              <w:rFonts w:hint="default"/>
              <w:lang w:val="en-US" w:eastAsia="zh-CN"/>
            </w:rPr>
            <w:t xml:space="preserve">2.1. </w:t>
          </w:r>
          <w:r>
            <w:rPr>
              <w:rFonts w:hint="eastAsia"/>
              <w:lang w:val="en-US" w:eastAsia="zh-CN"/>
            </w:rPr>
            <w:t>运维部</w:t>
          </w:r>
          <w:r>
            <w:tab/>
          </w:r>
          <w:r>
            <w:fldChar w:fldCharType="begin"/>
          </w:r>
          <w:r>
            <w:instrText xml:space="preserve"> PAGEREF _Toc16835 \h </w:instrText>
          </w:r>
          <w:r>
            <w:fldChar w:fldCharType="separate"/>
          </w:r>
          <w:r>
            <w:t>5</w:t>
          </w:r>
          <w:r>
            <w:fldChar w:fldCharType="end"/>
          </w:r>
          <w:r>
            <w:rPr>
              <w:rFonts w:hint="eastAsia" w:ascii="宋体" w:hAnsi="宋体" w:eastAsia="宋体" w:cs="宋体"/>
              <w:szCs w:val="24"/>
            </w:rPr>
            <w:fldChar w:fldCharType="end"/>
          </w:r>
        </w:p>
        <w:p w14:paraId="69F13EF6">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_Toc11894 </w:instrText>
          </w:r>
          <w:r>
            <w:rPr>
              <w:rFonts w:hint="eastAsia" w:ascii="宋体" w:hAnsi="宋体" w:eastAsia="宋体" w:cs="宋体"/>
              <w:szCs w:val="24"/>
            </w:rPr>
            <w:fldChar w:fldCharType="separate"/>
          </w:r>
          <w:r>
            <w:rPr>
              <w:rFonts w:hint="default"/>
              <w:lang w:val="en-US" w:eastAsia="zh-CN"/>
            </w:rPr>
            <w:t xml:space="preserve">2.2. </w:t>
          </w:r>
          <w:r>
            <w:rPr>
              <w:rFonts w:hint="eastAsia"/>
              <w:lang w:val="en-US" w:eastAsia="zh-CN"/>
            </w:rPr>
            <w:t>研发部</w:t>
          </w:r>
          <w:r>
            <w:tab/>
          </w:r>
          <w:r>
            <w:fldChar w:fldCharType="begin"/>
          </w:r>
          <w:r>
            <w:instrText xml:space="preserve"> PAGEREF _Toc11894 \h </w:instrText>
          </w:r>
          <w:r>
            <w:fldChar w:fldCharType="separate"/>
          </w:r>
          <w:r>
            <w:t>5</w:t>
          </w:r>
          <w:r>
            <w:fldChar w:fldCharType="end"/>
          </w:r>
          <w:r>
            <w:rPr>
              <w:rFonts w:hint="eastAsia" w:ascii="宋体" w:hAnsi="宋体" w:eastAsia="宋体" w:cs="宋体"/>
              <w:szCs w:val="24"/>
            </w:rPr>
            <w:fldChar w:fldCharType="end"/>
          </w:r>
        </w:p>
        <w:p w14:paraId="6AA1D08A">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_Toc21029 </w:instrText>
          </w:r>
          <w:r>
            <w:rPr>
              <w:rFonts w:hint="eastAsia" w:ascii="宋体" w:hAnsi="宋体" w:eastAsia="宋体" w:cs="宋体"/>
              <w:szCs w:val="24"/>
            </w:rPr>
            <w:fldChar w:fldCharType="separate"/>
          </w:r>
          <w:r>
            <w:rPr>
              <w:rFonts w:hint="default"/>
              <w:lang w:val="en-US" w:eastAsia="zh-CN"/>
            </w:rPr>
            <w:t xml:space="preserve">2.3. </w:t>
          </w:r>
          <w:r>
            <w:rPr>
              <w:rFonts w:hint="eastAsia"/>
              <w:lang w:val="en-US" w:eastAsia="zh-CN"/>
            </w:rPr>
            <w:t>质量管理部</w:t>
          </w:r>
          <w:r>
            <w:tab/>
          </w:r>
          <w:r>
            <w:fldChar w:fldCharType="begin"/>
          </w:r>
          <w:r>
            <w:instrText xml:space="preserve"> PAGEREF _Toc21029 \h </w:instrText>
          </w:r>
          <w:r>
            <w:fldChar w:fldCharType="separate"/>
          </w:r>
          <w:r>
            <w:t>5</w:t>
          </w:r>
          <w:r>
            <w:fldChar w:fldCharType="end"/>
          </w:r>
          <w:r>
            <w:rPr>
              <w:rFonts w:hint="eastAsia" w:ascii="宋体" w:hAnsi="宋体" w:eastAsia="宋体" w:cs="宋体"/>
              <w:szCs w:val="24"/>
            </w:rPr>
            <w:fldChar w:fldCharType="end"/>
          </w:r>
        </w:p>
        <w:p w14:paraId="6F415EB6">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_Toc11508 </w:instrText>
          </w:r>
          <w:r>
            <w:rPr>
              <w:rFonts w:hint="eastAsia" w:ascii="宋体" w:hAnsi="宋体" w:eastAsia="宋体" w:cs="宋体"/>
              <w:szCs w:val="24"/>
            </w:rPr>
            <w:fldChar w:fldCharType="separate"/>
          </w:r>
          <w:r>
            <w:rPr>
              <w:rFonts w:hint="default"/>
              <w:lang w:val="en-US" w:eastAsia="zh-CN"/>
            </w:rPr>
            <w:t xml:space="preserve">2.4. </w:t>
          </w:r>
          <w:r>
            <w:rPr>
              <w:rFonts w:hint="eastAsia"/>
              <w:lang w:val="en-US" w:eastAsia="zh-CN"/>
            </w:rPr>
            <w:t>人力资源部</w:t>
          </w:r>
          <w:r>
            <w:tab/>
          </w:r>
          <w:r>
            <w:fldChar w:fldCharType="begin"/>
          </w:r>
          <w:r>
            <w:instrText xml:space="preserve"> PAGEREF _Toc11508 \h </w:instrText>
          </w:r>
          <w:r>
            <w:fldChar w:fldCharType="separate"/>
          </w:r>
          <w:r>
            <w:t>6</w:t>
          </w:r>
          <w:r>
            <w:fldChar w:fldCharType="end"/>
          </w:r>
          <w:r>
            <w:rPr>
              <w:rFonts w:hint="eastAsia" w:ascii="宋体" w:hAnsi="宋体" w:eastAsia="宋体" w:cs="宋体"/>
              <w:szCs w:val="24"/>
            </w:rPr>
            <w:fldChar w:fldCharType="end"/>
          </w:r>
        </w:p>
        <w:p w14:paraId="114653A7">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_Toc358 </w:instrText>
          </w:r>
          <w:r>
            <w:rPr>
              <w:rFonts w:hint="eastAsia" w:ascii="宋体" w:hAnsi="宋体" w:eastAsia="宋体" w:cs="宋体"/>
              <w:szCs w:val="24"/>
            </w:rPr>
            <w:fldChar w:fldCharType="separate"/>
          </w:r>
          <w:r>
            <w:rPr>
              <w:rFonts w:hint="default"/>
              <w:lang w:val="en-US" w:eastAsia="zh-CN"/>
            </w:rPr>
            <w:t xml:space="preserve">2.5. </w:t>
          </w:r>
          <w:r>
            <w:rPr>
              <w:rFonts w:hint="eastAsia"/>
              <w:lang w:val="en-US" w:eastAsia="zh-CN"/>
            </w:rPr>
            <w:t>应急管理部</w:t>
          </w:r>
          <w:r>
            <w:tab/>
          </w:r>
          <w:r>
            <w:fldChar w:fldCharType="begin"/>
          </w:r>
          <w:r>
            <w:instrText xml:space="preserve"> PAGEREF _Toc358 \h </w:instrText>
          </w:r>
          <w:r>
            <w:fldChar w:fldCharType="separate"/>
          </w:r>
          <w:r>
            <w:t>6</w:t>
          </w:r>
          <w:r>
            <w:fldChar w:fldCharType="end"/>
          </w:r>
          <w:r>
            <w:rPr>
              <w:rFonts w:hint="eastAsia" w:ascii="宋体" w:hAnsi="宋体" w:eastAsia="宋体" w:cs="宋体"/>
              <w:szCs w:val="24"/>
            </w:rPr>
            <w:fldChar w:fldCharType="end"/>
          </w:r>
        </w:p>
        <w:p w14:paraId="465A2605">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_Toc29216 </w:instrText>
          </w:r>
          <w:r>
            <w:rPr>
              <w:rFonts w:hint="eastAsia" w:ascii="宋体" w:hAnsi="宋体" w:eastAsia="宋体" w:cs="宋体"/>
              <w:szCs w:val="24"/>
            </w:rPr>
            <w:fldChar w:fldCharType="separate"/>
          </w:r>
          <w:r>
            <w:rPr>
              <w:rFonts w:hint="default"/>
              <w:lang w:val="en-US" w:eastAsia="zh-CN"/>
            </w:rPr>
            <w:t xml:space="preserve">2.6. </w:t>
          </w:r>
          <w:r>
            <w:rPr>
              <w:rFonts w:hint="eastAsia"/>
              <w:lang w:val="en-US" w:eastAsia="zh-CN"/>
            </w:rPr>
            <w:t>管理者代表</w:t>
          </w:r>
          <w:r>
            <w:tab/>
          </w:r>
          <w:r>
            <w:fldChar w:fldCharType="begin"/>
          </w:r>
          <w:r>
            <w:instrText xml:space="preserve"> PAGEREF _Toc29216 \h </w:instrText>
          </w:r>
          <w:r>
            <w:fldChar w:fldCharType="separate"/>
          </w:r>
          <w:r>
            <w:t>6</w:t>
          </w:r>
          <w:r>
            <w:fldChar w:fldCharType="end"/>
          </w:r>
          <w:r>
            <w:rPr>
              <w:rFonts w:hint="eastAsia" w:ascii="宋体" w:hAnsi="宋体" w:eastAsia="宋体" w:cs="宋体"/>
              <w:szCs w:val="24"/>
            </w:rPr>
            <w:fldChar w:fldCharType="end"/>
          </w:r>
        </w:p>
        <w:p w14:paraId="1E132EB6">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_Toc16301 </w:instrText>
          </w:r>
          <w:r>
            <w:rPr>
              <w:rFonts w:hint="eastAsia" w:ascii="宋体" w:hAnsi="宋体" w:eastAsia="宋体" w:cs="宋体"/>
              <w:szCs w:val="24"/>
            </w:rPr>
            <w:fldChar w:fldCharType="separate"/>
          </w:r>
          <w:r>
            <w:rPr>
              <w:rFonts w:hint="default"/>
              <w:lang w:val="en-US" w:eastAsia="zh-CN"/>
            </w:rPr>
            <w:t xml:space="preserve">3. </w:t>
          </w:r>
          <w:r>
            <w:rPr>
              <w:rFonts w:hint="eastAsia"/>
              <w:lang w:val="en-US" w:eastAsia="zh-CN"/>
            </w:rPr>
            <w:t>服务目录管理流程</w:t>
          </w:r>
          <w:r>
            <w:tab/>
          </w:r>
          <w:r>
            <w:fldChar w:fldCharType="begin"/>
          </w:r>
          <w:r>
            <w:instrText xml:space="preserve"> PAGEREF _Toc16301 \h </w:instrText>
          </w:r>
          <w:r>
            <w:fldChar w:fldCharType="separate"/>
          </w:r>
          <w:r>
            <w:t>6</w:t>
          </w:r>
          <w:r>
            <w:fldChar w:fldCharType="end"/>
          </w:r>
          <w:r>
            <w:rPr>
              <w:rFonts w:hint="eastAsia" w:ascii="宋体" w:hAnsi="宋体" w:eastAsia="宋体" w:cs="宋体"/>
              <w:szCs w:val="24"/>
            </w:rPr>
            <w:fldChar w:fldCharType="end"/>
          </w:r>
        </w:p>
        <w:p w14:paraId="26A2A2D2">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_Toc31240 </w:instrText>
          </w:r>
          <w:r>
            <w:rPr>
              <w:rFonts w:hint="eastAsia" w:ascii="宋体" w:hAnsi="宋体" w:eastAsia="宋体" w:cs="宋体"/>
              <w:szCs w:val="24"/>
            </w:rPr>
            <w:fldChar w:fldCharType="separate"/>
          </w:r>
          <w:r>
            <w:rPr>
              <w:rFonts w:hint="default"/>
              <w:lang w:val="en-US" w:eastAsia="zh-CN"/>
            </w:rPr>
            <w:t xml:space="preserve">3.1. </w:t>
          </w:r>
          <w:r>
            <w:rPr>
              <w:rFonts w:hint="eastAsia"/>
              <w:lang w:val="en-US" w:eastAsia="zh-CN"/>
            </w:rPr>
            <w:t>服务目录的建立</w:t>
          </w:r>
          <w:r>
            <w:tab/>
          </w:r>
          <w:r>
            <w:fldChar w:fldCharType="begin"/>
          </w:r>
          <w:r>
            <w:instrText xml:space="preserve"> PAGEREF _Toc31240 \h </w:instrText>
          </w:r>
          <w:r>
            <w:fldChar w:fldCharType="separate"/>
          </w:r>
          <w:r>
            <w:t>6</w:t>
          </w:r>
          <w:r>
            <w:fldChar w:fldCharType="end"/>
          </w:r>
          <w:r>
            <w:rPr>
              <w:rFonts w:hint="eastAsia" w:ascii="宋体" w:hAnsi="宋体" w:eastAsia="宋体" w:cs="宋体"/>
              <w:szCs w:val="24"/>
            </w:rPr>
            <w:fldChar w:fldCharType="end"/>
          </w:r>
        </w:p>
        <w:p w14:paraId="1D9B88B0">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_Toc7015 </w:instrText>
          </w:r>
          <w:r>
            <w:rPr>
              <w:rFonts w:hint="eastAsia" w:ascii="宋体" w:hAnsi="宋体" w:eastAsia="宋体" w:cs="宋体"/>
              <w:szCs w:val="24"/>
            </w:rPr>
            <w:fldChar w:fldCharType="separate"/>
          </w:r>
          <w:r>
            <w:rPr>
              <w:rFonts w:hint="default"/>
              <w:lang w:val="en-US" w:eastAsia="zh-CN"/>
            </w:rPr>
            <w:t xml:space="preserve">3.2. </w:t>
          </w:r>
          <w:r>
            <w:rPr>
              <w:rFonts w:hint="eastAsia"/>
              <w:lang w:val="en-US" w:eastAsia="zh-CN"/>
            </w:rPr>
            <w:t>服务目录的评审</w:t>
          </w:r>
          <w:r>
            <w:tab/>
          </w:r>
          <w:r>
            <w:fldChar w:fldCharType="begin"/>
          </w:r>
          <w:r>
            <w:instrText xml:space="preserve"> PAGEREF _Toc7015 \h </w:instrText>
          </w:r>
          <w:r>
            <w:fldChar w:fldCharType="separate"/>
          </w:r>
          <w:r>
            <w:t>6</w:t>
          </w:r>
          <w:r>
            <w:fldChar w:fldCharType="end"/>
          </w:r>
          <w:r>
            <w:rPr>
              <w:rFonts w:hint="eastAsia" w:ascii="宋体" w:hAnsi="宋体" w:eastAsia="宋体" w:cs="宋体"/>
              <w:szCs w:val="24"/>
            </w:rPr>
            <w:fldChar w:fldCharType="end"/>
          </w:r>
        </w:p>
        <w:p w14:paraId="41BE4CAC">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_Toc22949 </w:instrText>
          </w:r>
          <w:r>
            <w:rPr>
              <w:rFonts w:hint="eastAsia" w:ascii="宋体" w:hAnsi="宋体" w:eastAsia="宋体" w:cs="宋体"/>
              <w:szCs w:val="24"/>
            </w:rPr>
            <w:fldChar w:fldCharType="separate"/>
          </w:r>
          <w:r>
            <w:rPr>
              <w:rFonts w:hint="default"/>
              <w:lang w:val="en-US" w:eastAsia="zh-CN"/>
            </w:rPr>
            <w:t xml:space="preserve">3.3. </w:t>
          </w:r>
          <w:r>
            <w:rPr>
              <w:rFonts w:hint="eastAsia"/>
              <w:lang w:val="en-US" w:eastAsia="zh-CN"/>
            </w:rPr>
            <w:t>服务目录的修订与验证</w:t>
          </w:r>
          <w:r>
            <w:tab/>
          </w:r>
          <w:r>
            <w:fldChar w:fldCharType="begin"/>
          </w:r>
          <w:r>
            <w:instrText xml:space="preserve"> PAGEREF _Toc22949 \h </w:instrText>
          </w:r>
          <w:r>
            <w:fldChar w:fldCharType="separate"/>
          </w:r>
          <w:r>
            <w:t>7</w:t>
          </w:r>
          <w:r>
            <w:fldChar w:fldCharType="end"/>
          </w:r>
          <w:r>
            <w:rPr>
              <w:rFonts w:hint="eastAsia" w:ascii="宋体" w:hAnsi="宋体" w:eastAsia="宋体" w:cs="宋体"/>
              <w:szCs w:val="24"/>
            </w:rPr>
            <w:fldChar w:fldCharType="end"/>
          </w:r>
        </w:p>
        <w:p w14:paraId="40930EF2">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_Toc15558 </w:instrText>
          </w:r>
          <w:r>
            <w:rPr>
              <w:rFonts w:hint="eastAsia" w:ascii="宋体" w:hAnsi="宋体" w:eastAsia="宋体" w:cs="宋体"/>
              <w:szCs w:val="24"/>
            </w:rPr>
            <w:fldChar w:fldCharType="separate"/>
          </w:r>
          <w:r>
            <w:rPr>
              <w:rFonts w:hint="default"/>
              <w:lang w:val="en-US" w:eastAsia="zh-CN"/>
            </w:rPr>
            <w:t xml:space="preserve">3.4. </w:t>
          </w:r>
          <w:r>
            <w:rPr>
              <w:rFonts w:hint="eastAsia"/>
              <w:lang w:val="en-US" w:eastAsia="zh-CN"/>
            </w:rPr>
            <w:t>服务目录的发布</w:t>
          </w:r>
          <w:r>
            <w:tab/>
          </w:r>
          <w:r>
            <w:fldChar w:fldCharType="begin"/>
          </w:r>
          <w:r>
            <w:instrText xml:space="preserve"> PAGEREF _Toc15558 \h </w:instrText>
          </w:r>
          <w:r>
            <w:fldChar w:fldCharType="separate"/>
          </w:r>
          <w:r>
            <w:t>7</w:t>
          </w:r>
          <w:r>
            <w:fldChar w:fldCharType="end"/>
          </w:r>
          <w:r>
            <w:rPr>
              <w:rFonts w:hint="eastAsia" w:ascii="宋体" w:hAnsi="宋体" w:eastAsia="宋体" w:cs="宋体"/>
              <w:szCs w:val="24"/>
            </w:rPr>
            <w:fldChar w:fldCharType="end"/>
          </w:r>
        </w:p>
        <w:p w14:paraId="2A0DE173">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_Toc27395 </w:instrText>
          </w:r>
          <w:r>
            <w:rPr>
              <w:rFonts w:hint="eastAsia" w:ascii="宋体" w:hAnsi="宋体" w:eastAsia="宋体" w:cs="宋体"/>
              <w:szCs w:val="24"/>
            </w:rPr>
            <w:fldChar w:fldCharType="separate"/>
          </w:r>
          <w:r>
            <w:rPr>
              <w:rFonts w:hint="default"/>
              <w:lang w:val="en-US" w:eastAsia="zh-CN"/>
            </w:rPr>
            <w:t xml:space="preserve">3.5. </w:t>
          </w:r>
          <w:r>
            <w:rPr>
              <w:rFonts w:hint="eastAsia"/>
              <w:lang w:val="en-US" w:eastAsia="zh-CN"/>
            </w:rPr>
            <w:t>服务目录的使用</w:t>
          </w:r>
          <w:r>
            <w:tab/>
          </w:r>
          <w:r>
            <w:fldChar w:fldCharType="begin"/>
          </w:r>
          <w:r>
            <w:instrText xml:space="preserve"> PAGEREF _Toc27395 \h </w:instrText>
          </w:r>
          <w:r>
            <w:fldChar w:fldCharType="separate"/>
          </w:r>
          <w:r>
            <w:t>7</w:t>
          </w:r>
          <w:r>
            <w:fldChar w:fldCharType="end"/>
          </w:r>
          <w:r>
            <w:rPr>
              <w:rFonts w:hint="eastAsia" w:ascii="宋体" w:hAnsi="宋体" w:eastAsia="宋体" w:cs="宋体"/>
              <w:szCs w:val="24"/>
            </w:rPr>
            <w:fldChar w:fldCharType="end"/>
          </w:r>
        </w:p>
        <w:p w14:paraId="0DBCB327">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_Toc1501 </w:instrText>
          </w:r>
          <w:r>
            <w:rPr>
              <w:rFonts w:hint="eastAsia" w:ascii="宋体" w:hAnsi="宋体" w:eastAsia="宋体" w:cs="宋体"/>
              <w:szCs w:val="24"/>
            </w:rPr>
            <w:fldChar w:fldCharType="separate"/>
          </w:r>
          <w:r>
            <w:rPr>
              <w:rFonts w:hint="default"/>
              <w:lang w:val="en-US" w:eastAsia="zh-CN"/>
            </w:rPr>
            <w:t xml:space="preserve">4. </w:t>
          </w:r>
          <w:r>
            <w:rPr>
              <w:rFonts w:hint="eastAsia"/>
              <w:lang w:val="en-US" w:eastAsia="zh-CN"/>
            </w:rPr>
            <w:t>持续改进</w:t>
          </w:r>
          <w:r>
            <w:tab/>
          </w:r>
          <w:r>
            <w:fldChar w:fldCharType="begin"/>
          </w:r>
          <w:r>
            <w:instrText xml:space="preserve"> PAGEREF _Toc1501 \h </w:instrText>
          </w:r>
          <w:r>
            <w:fldChar w:fldCharType="separate"/>
          </w:r>
          <w:r>
            <w:t>7</w:t>
          </w:r>
          <w:r>
            <w:fldChar w:fldCharType="end"/>
          </w:r>
          <w:r>
            <w:rPr>
              <w:rFonts w:hint="eastAsia" w:ascii="宋体" w:hAnsi="宋体" w:eastAsia="宋体" w:cs="宋体"/>
              <w:szCs w:val="24"/>
            </w:rPr>
            <w:fldChar w:fldCharType="end"/>
          </w:r>
        </w:p>
        <w:p w14:paraId="2E6351A2">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_Toc32594 </w:instrText>
          </w:r>
          <w:r>
            <w:rPr>
              <w:rFonts w:hint="eastAsia" w:ascii="宋体" w:hAnsi="宋体" w:eastAsia="宋体" w:cs="宋体"/>
              <w:szCs w:val="24"/>
            </w:rPr>
            <w:fldChar w:fldCharType="separate"/>
          </w:r>
          <w:r>
            <w:rPr>
              <w:rFonts w:hint="default"/>
              <w:lang w:val="en-US" w:eastAsia="zh-CN"/>
            </w:rPr>
            <w:t xml:space="preserve">5. </w:t>
          </w:r>
          <w:r>
            <w:rPr>
              <w:rFonts w:hint="eastAsia"/>
              <w:lang w:val="en-US" w:eastAsia="zh-CN"/>
            </w:rPr>
            <w:t>附则</w:t>
          </w:r>
          <w:r>
            <w:tab/>
          </w:r>
          <w:r>
            <w:fldChar w:fldCharType="begin"/>
          </w:r>
          <w:r>
            <w:instrText xml:space="preserve"> PAGEREF _Toc32594 \h </w:instrText>
          </w:r>
          <w:r>
            <w:fldChar w:fldCharType="separate"/>
          </w:r>
          <w:r>
            <w:t>8</w:t>
          </w:r>
          <w:r>
            <w:fldChar w:fldCharType="end"/>
          </w:r>
          <w:r>
            <w:rPr>
              <w:rFonts w:hint="eastAsia" w:ascii="宋体" w:hAnsi="宋体" w:eastAsia="宋体" w:cs="宋体"/>
              <w:szCs w:val="24"/>
            </w:rPr>
            <w:fldChar w:fldCharType="end"/>
          </w:r>
        </w:p>
        <w:p w14:paraId="6EB408CD">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_Toc17623 </w:instrText>
          </w:r>
          <w:r>
            <w:rPr>
              <w:rFonts w:hint="eastAsia" w:ascii="宋体" w:hAnsi="宋体" w:eastAsia="宋体" w:cs="宋体"/>
              <w:szCs w:val="24"/>
            </w:rPr>
            <w:fldChar w:fldCharType="separate"/>
          </w:r>
          <w:r>
            <w:rPr>
              <w:rFonts w:hint="default"/>
              <w:lang w:val="en-US" w:eastAsia="zh-CN"/>
            </w:rPr>
            <w:t xml:space="preserve">5.1. </w:t>
          </w:r>
          <w:r>
            <w:rPr>
              <w:rFonts w:hint="eastAsia"/>
              <w:lang w:val="en-US" w:eastAsia="zh-CN"/>
            </w:rPr>
            <w:t>输出文件与记录</w:t>
          </w:r>
          <w:r>
            <w:tab/>
          </w:r>
          <w:r>
            <w:fldChar w:fldCharType="begin"/>
          </w:r>
          <w:r>
            <w:instrText xml:space="preserve"> PAGEREF _Toc17623 \h </w:instrText>
          </w:r>
          <w:r>
            <w:fldChar w:fldCharType="separate"/>
          </w:r>
          <w:r>
            <w:t>8</w:t>
          </w:r>
          <w:r>
            <w:fldChar w:fldCharType="end"/>
          </w:r>
          <w:r>
            <w:rPr>
              <w:rFonts w:hint="eastAsia" w:ascii="宋体" w:hAnsi="宋体" w:eastAsia="宋体" w:cs="宋体"/>
              <w:szCs w:val="24"/>
            </w:rPr>
            <w:fldChar w:fldCharType="end"/>
          </w:r>
        </w:p>
        <w:p w14:paraId="6F278971">
          <w:pPr>
            <w:keepNext w:val="0"/>
            <w:keepLines w:val="0"/>
            <w:pageBreakBefore w:val="0"/>
            <w:widowControl w:val="0"/>
            <w:kinsoku w:val="0"/>
            <w:wordWrap/>
            <w:overflowPunct/>
            <w:autoSpaceDE w:val="0"/>
            <w:autoSpaceDN w:val="0"/>
            <w:bidi w:val="0"/>
            <w:adjustRightInd w:val="0"/>
            <w:snapToGrid w:val="0"/>
            <w:textAlignment w:val="baseline"/>
            <w:rPr>
              <w:rFonts w:hint="eastAsia" w:ascii="宋体" w:hAnsi="宋体" w:eastAsia="宋体" w:cs="宋体"/>
              <w:snapToGrid w:val="0"/>
              <w:color w:val="000000"/>
              <w:kern w:val="0"/>
              <w:sz w:val="24"/>
              <w:szCs w:val="24"/>
              <w:lang w:val="en-US" w:eastAsia="en-US" w:bidi="ar-SA"/>
            </w:rPr>
          </w:pPr>
          <w:r>
            <w:rPr>
              <w:rFonts w:hint="eastAsia" w:ascii="宋体" w:hAnsi="宋体" w:eastAsia="宋体" w:cs="宋体"/>
              <w:szCs w:val="24"/>
            </w:rPr>
            <w:fldChar w:fldCharType="end"/>
          </w:r>
        </w:p>
      </w:sdtContent>
    </w:sdt>
    <w:p w14:paraId="004ED44D">
      <w:pPr>
        <w:keepNext w:val="0"/>
        <w:keepLines w:val="0"/>
        <w:pageBreakBefore w:val="0"/>
        <w:widowControl w:val="0"/>
        <w:kinsoku w:val="0"/>
        <w:wordWrap/>
        <w:overflowPunct/>
        <w:autoSpaceDE w:val="0"/>
        <w:autoSpaceDN w:val="0"/>
        <w:bidi w:val="0"/>
        <w:adjustRightInd w:val="0"/>
        <w:snapToGrid w:val="0"/>
        <w:textAlignment w:val="baseline"/>
        <w:rPr>
          <w:rFonts w:ascii="Arial" w:hAnsi="Arial" w:eastAsia="Arial" w:cs="Arial"/>
          <w:snapToGrid w:val="0"/>
          <w:color w:val="000000"/>
          <w:kern w:val="0"/>
          <w:sz w:val="21"/>
          <w:szCs w:val="21"/>
          <w:lang w:val="en-US" w:eastAsia="en-US" w:bidi="ar-SA"/>
        </w:rPr>
      </w:pPr>
      <w:r>
        <w:rPr>
          <w:rFonts w:ascii="Arial" w:hAnsi="Arial" w:eastAsia="Arial" w:cs="Arial"/>
          <w:snapToGrid w:val="0"/>
          <w:color w:val="000000"/>
          <w:kern w:val="0"/>
          <w:sz w:val="21"/>
          <w:szCs w:val="21"/>
          <w:lang w:val="en-US" w:eastAsia="en-US" w:bidi="ar-SA"/>
        </w:rPr>
        <w:br w:type="page"/>
      </w:r>
    </w:p>
    <w:p w14:paraId="472CD081">
      <w:pPr>
        <w:pStyle w:val="28"/>
        <w:bidi w:val="0"/>
        <w:rPr>
          <w:rFonts w:hint="eastAsia"/>
          <w:lang w:val="en-US" w:eastAsia="zh-CN"/>
        </w:rPr>
      </w:pPr>
      <w:bookmarkStart w:id="2" w:name="_Toc4789"/>
      <w:r>
        <w:rPr>
          <w:rFonts w:hint="eastAsia"/>
          <w:lang w:val="en-US" w:eastAsia="zh-CN"/>
        </w:rPr>
        <w:t>总则</w:t>
      </w:r>
      <w:bookmarkEnd w:id="2"/>
    </w:p>
    <w:p w14:paraId="308435EE">
      <w:pPr>
        <w:pStyle w:val="30"/>
        <w:bidi w:val="0"/>
        <w:rPr>
          <w:rFonts w:hint="eastAsia"/>
          <w:lang w:val="en-US" w:eastAsia="zh-CN"/>
        </w:rPr>
      </w:pPr>
      <w:bookmarkStart w:id="3" w:name="_Toc31874"/>
      <w:r>
        <w:rPr>
          <w:rFonts w:hint="eastAsia"/>
          <w:lang w:val="en-US" w:eastAsia="zh-CN"/>
        </w:rPr>
        <w:t>目的</w:t>
      </w:r>
      <w:bookmarkEnd w:id="3"/>
    </w:p>
    <w:p w14:paraId="07918BC5">
      <w:pPr>
        <w:pStyle w:val="29"/>
        <w:rPr>
          <w:rFonts w:hint="eastAsia"/>
          <w:lang w:val="en-US" w:eastAsia="zh-CN"/>
        </w:rPr>
      </w:pPr>
      <w:r>
        <w:rPr>
          <w:rFonts w:hint="eastAsia"/>
          <w:lang w:val="en-US" w:eastAsia="zh-CN"/>
        </w:rPr>
        <w:t>为规范桐乡华数广电网络有限公司（以下简称“公司”）运维服务目录的规划、设计、发布、维护及使用，清晰定义向客户提供的服务内容与标准，确保服务目录能准确反映公司服务能力，支持市场拓展、合同签订与服务交付，并实现服务目录的持续优化，特制定本制度。</w:t>
      </w:r>
    </w:p>
    <w:p w14:paraId="4058294B">
      <w:pPr>
        <w:pStyle w:val="30"/>
        <w:bidi w:val="0"/>
        <w:rPr>
          <w:rFonts w:hint="eastAsia"/>
          <w:lang w:val="en-US" w:eastAsia="zh-CN"/>
        </w:rPr>
      </w:pPr>
      <w:bookmarkStart w:id="4" w:name="_Toc30332"/>
      <w:r>
        <w:rPr>
          <w:rFonts w:hint="eastAsia"/>
          <w:lang w:val="en-US" w:eastAsia="zh-CN"/>
        </w:rPr>
        <w:t>适用范围</w:t>
      </w:r>
      <w:bookmarkEnd w:id="4"/>
    </w:p>
    <w:p w14:paraId="746BDDAF">
      <w:pPr>
        <w:pStyle w:val="29"/>
        <w:rPr>
          <w:rFonts w:hint="eastAsia"/>
          <w:lang w:val="en-US" w:eastAsia="zh-CN"/>
        </w:rPr>
      </w:pPr>
      <w:r>
        <w:rPr>
          <w:rFonts w:hint="eastAsia"/>
          <w:lang w:val="en-US" w:eastAsia="zh-CN"/>
        </w:rPr>
        <w:t>本制度适用于公司所有对外提供的运维服务的目录管理活动，包括组织级服务目录的制定、维护，以及项目级服务目录的衍生与管理。</w:t>
      </w:r>
    </w:p>
    <w:p w14:paraId="15B97462">
      <w:pPr>
        <w:pStyle w:val="30"/>
        <w:bidi w:val="0"/>
        <w:rPr>
          <w:rFonts w:hint="eastAsia"/>
          <w:lang w:val="en-US" w:eastAsia="zh-CN"/>
        </w:rPr>
      </w:pPr>
      <w:bookmarkStart w:id="5" w:name="_Toc8478"/>
      <w:r>
        <w:rPr>
          <w:rFonts w:hint="eastAsia"/>
          <w:lang w:val="en-US" w:eastAsia="zh-CN"/>
        </w:rPr>
        <w:t>术语与定义</w:t>
      </w:r>
      <w:bookmarkEnd w:id="5"/>
    </w:p>
    <w:p w14:paraId="2B165073">
      <w:pPr>
        <w:pStyle w:val="29"/>
        <w:rPr>
          <w:rFonts w:hint="eastAsia"/>
          <w:lang w:val="en-US" w:eastAsia="zh-CN"/>
        </w:rPr>
      </w:pPr>
      <w:r>
        <w:rPr>
          <w:rFonts w:hint="eastAsia"/>
          <w:lang w:val="en-US" w:eastAsia="zh-CN"/>
        </w:rPr>
        <w:t>服务目录：定义了公司可提供的全部运维服务项，包括服务名称、内容、目标、交付方式、服务级别等属性的正式清单。分为组织级服务目录和项目级服务目录。</w:t>
      </w:r>
    </w:p>
    <w:p w14:paraId="539F0658">
      <w:pPr>
        <w:pStyle w:val="29"/>
        <w:rPr>
          <w:rFonts w:hint="eastAsia"/>
          <w:lang w:val="en-US" w:eastAsia="zh-CN"/>
        </w:rPr>
      </w:pPr>
      <w:r>
        <w:rPr>
          <w:rFonts w:hint="eastAsia"/>
          <w:lang w:val="en-US" w:eastAsia="zh-CN"/>
        </w:rPr>
        <w:t>组织级服务目录：基于公司整体服务能力建立的标准化服务列表，是公司服务产品的总纲。</w:t>
      </w:r>
    </w:p>
    <w:p w14:paraId="18E2E954">
      <w:pPr>
        <w:pStyle w:val="29"/>
        <w:rPr>
          <w:rFonts w:hint="eastAsia"/>
          <w:lang w:val="en-US" w:eastAsia="zh-CN"/>
        </w:rPr>
      </w:pPr>
      <w:r>
        <w:rPr>
          <w:rFonts w:hint="eastAsia"/>
          <w:lang w:val="en-US" w:eastAsia="zh-CN"/>
        </w:rPr>
        <w:t>项目级服务目录：依据具体客户合同或项目需求，从组织级服务目录中选取、组合或定制形成的服务清单，是《服务级别协议(SLA)》的核心组成部分。</w:t>
      </w:r>
    </w:p>
    <w:p w14:paraId="13F2B9A6">
      <w:pPr>
        <w:pStyle w:val="30"/>
        <w:bidi w:val="0"/>
        <w:rPr>
          <w:rFonts w:hint="eastAsia"/>
          <w:lang w:val="en-US" w:eastAsia="zh-CN"/>
        </w:rPr>
      </w:pPr>
      <w:bookmarkStart w:id="6" w:name="_Toc23415"/>
      <w:r>
        <w:rPr>
          <w:rFonts w:hint="eastAsia"/>
          <w:lang w:val="en-US" w:eastAsia="zh-CN"/>
        </w:rPr>
        <w:t>与其他流程的关系</w:t>
      </w:r>
      <w:bookmarkEnd w:id="6"/>
    </w:p>
    <w:p w14:paraId="36A4AFB1">
      <w:pPr>
        <w:pStyle w:val="29"/>
        <w:rPr>
          <w:rFonts w:hint="eastAsia"/>
          <w:lang w:val="en-US" w:eastAsia="zh-CN"/>
        </w:rPr>
      </w:pPr>
      <w:r>
        <w:rPr>
          <w:rFonts w:hint="eastAsia"/>
          <w:lang w:val="en-US" w:eastAsia="zh-CN"/>
        </w:rPr>
        <w:t>服务目录管理是公司服务管理体系的基石，与其他关键流程紧密关联：</w:t>
      </w:r>
    </w:p>
    <w:p w14:paraId="66CE35FF">
      <w:pPr>
        <w:pStyle w:val="29"/>
        <w:rPr>
          <w:rFonts w:hint="eastAsia"/>
          <w:lang w:val="en-US" w:eastAsia="zh-CN"/>
        </w:rPr>
      </w:pPr>
      <w:r>
        <w:rPr>
          <w:rFonts w:hint="eastAsia"/>
          <w:lang w:val="en-US" w:eastAsia="zh-CN"/>
        </w:rPr>
        <w:t>与服务级别管理(SLM)：服务目录是定义具体服务级别指标（SLAs）的基础。项目级服务目录直接输入至SLA的制定过程。</w:t>
      </w:r>
    </w:p>
    <w:p w14:paraId="55B44AC9">
      <w:pPr>
        <w:pStyle w:val="29"/>
        <w:rPr>
          <w:rFonts w:hint="eastAsia"/>
          <w:lang w:val="en-US" w:eastAsia="zh-CN"/>
        </w:rPr>
      </w:pPr>
      <w:r>
        <w:rPr>
          <w:rFonts w:hint="eastAsia"/>
          <w:lang w:val="en-US" w:eastAsia="zh-CN"/>
        </w:rPr>
        <w:t>与服务质量/交付管理：服务目录中定义的服务目标与标准，是服务质量监控、评估和交付执行的直接依据。</w:t>
      </w:r>
    </w:p>
    <w:p w14:paraId="64FC5DDB">
      <w:pPr>
        <w:pStyle w:val="29"/>
        <w:rPr>
          <w:rFonts w:hint="eastAsia"/>
          <w:lang w:val="en-US" w:eastAsia="zh-CN"/>
        </w:rPr>
      </w:pPr>
      <w:r>
        <w:rPr>
          <w:rFonts w:hint="eastAsia"/>
          <w:lang w:val="en-US" w:eastAsia="zh-CN"/>
        </w:rPr>
        <w:t>与能力管理：服务目录的制定与变更，需评估并匹配公司现有及未来的技术、人员与流程能力。</w:t>
      </w:r>
    </w:p>
    <w:p w14:paraId="28D429B6">
      <w:pPr>
        <w:pStyle w:val="29"/>
        <w:rPr>
          <w:rFonts w:hint="eastAsia"/>
          <w:lang w:val="en-US" w:eastAsia="zh-CN"/>
        </w:rPr>
      </w:pPr>
      <w:r>
        <w:rPr>
          <w:rFonts w:hint="eastAsia"/>
          <w:lang w:val="en-US" w:eastAsia="zh-CN"/>
        </w:rPr>
        <w:t>与业务关系/需求管理：服务目录的评审与更新应充分吸纳客户需求、市场趋势及销售反馈。</w:t>
      </w:r>
    </w:p>
    <w:p w14:paraId="1964D3DC">
      <w:pPr>
        <w:pStyle w:val="29"/>
        <w:rPr>
          <w:rFonts w:hint="default"/>
          <w:lang w:val="en-US" w:eastAsia="zh-CN"/>
        </w:rPr>
      </w:pPr>
      <w:r>
        <w:rPr>
          <w:rFonts w:hint="eastAsia"/>
          <w:lang w:val="en-US" w:eastAsia="zh-CN"/>
        </w:rPr>
        <w:t>与事件管理：服务目录是事件分类与分级的核心依据 。在事件处置过程中，所有工单的创建必须强制关联对应的服务目录项，严禁脱离目录手动输入 。通过这种关联，公司能够实现对特定服务项故障率的统计分析，从而精准识别高频故障点，为后续的资源分配与技术改进提供数据支撑 。</w:t>
      </w:r>
    </w:p>
    <w:p w14:paraId="61B1FCD8">
      <w:pPr>
        <w:pStyle w:val="28"/>
        <w:bidi w:val="0"/>
        <w:rPr>
          <w:rFonts w:hint="eastAsia"/>
          <w:lang w:val="en-US" w:eastAsia="zh-CN"/>
        </w:rPr>
      </w:pPr>
      <w:bookmarkStart w:id="7" w:name="_Toc12766"/>
      <w:r>
        <w:rPr>
          <w:rFonts w:hint="eastAsia"/>
          <w:lang w:val="en-US" w:eastAsia="zh-CN"/>
        </w:rPr>
        <w:t>角色与职责</w:t>
      </w:r>
      <w:bookmarkEnd w:id="7"/>
    </w:p>
    <w:p w14:paraId="7140AC82">
      <w:pPr>
        <w:pStyle w:val="30"/>
        <w:bidi w:val="0"/>
        <w:rPr>
          <w:rFonts w:hint="eastAsia"/>
          <w:lang w:val="en-US" w:eastAsia="zh-CN"/>
        </w:rPr>
      </w:pPr>
      <w:bookmarkStart w:id="8" w:name="_Toc16835"/>
      <w:r>
        <w:rPr>
          <w:rFonts w:hint="eastAsia"/>
          <w:lang w:val="en-US" w:eastAsia="zh-CN"/>
        </w:rPr>
        <w:t>运维部</w:t>
      </w:r>
      <w:bookmarkEnd w:id="8"/>
    </w:p>
    <w:p w14:paraId="1F3234D6">
      <w:pPr>
        <w:pStyle w:val="29"/>
        <w:rPr>
          <w:rFonts w:hint="eastAsia"/>
          <w:lang w:val="en-US" w:eastAsia="zh-CN"/>
        </w:rPr>
      </w:pPr>
      <w:r>
        <w:rPr>
          <w:rFonts w:hint="eastAsia"/>
          <w:lang w:val="en-US" w:eastAsia="zh-CN"/>
        </w:rPr>
        <w:t>作为服务目录管理的归口部门，负责组织级服务目录的编制、维护、更新与解释。</w:t>
      </w:r>
    </w:p>
    <w:p w14:paraId="4270E5B6">
      <w:pPr>
        <w:pStyle w:val="29"/>
        <w:rPr>
          <w:rFonts w:hint="eastAsia"/>
          <w:lang w:val="en-US" w:eastAsia="zh-CN"/>
        </w:rPr>
      </w:pPr>
      <w:r>
        <w:rPr>
          <w:rFonts w:hint="eastAsia"/>
          <w:lang w:val="en-US" w:eastAsia="zh-CN"/>
        </w:rPr>
        <w:t>组织服务目录的定期评审与不定期修订工作。</w:t>
      </w:r>
    </w:p>
    <w:p w14:paraId="20466620">
      <w:pPr>
        <w:pStyle w:val="29"/>
        <w:rPr>
          <w:rFonts w:hint="eastAsia"/>
          <w:lang w:val="en-US" w:eastAsia="zh-CN"/>
        </w:rPr>
      </w:pPr>
      <w:r>
        <w:rPr>
          <w:rFonts w:hint="eastAsia"/>
          <w:lang w:val="en-US" w:eastAsia="zh-CN"/>
        </w:rPr>
        <w:t>牵头项目级服务目录的制定支持与审核。</w:t>
      </w:r>
    </w:p>
    <w:p w14:paraId="646DC558">
      <w:pPr>
        <w:pStyle w:val="29"/>
        <w:rPr>
          <w:rFonts w:hint="eastAsia"/>
          <w:lang w:val="en-US" w:eastAsia="zh-CN"/>
        </w:rPr>
      </w:pPr>
      <w:r>
        <w:rPr>
          <w:rFonts w:hint="eastAsia"/>
          <w:lang w:val="en-US" w:eastAsia="zh-CN"/>
        </w:rPr>
        <w:t>负责服务目录的正式发布与分发。</w:t>
      </w:r>
    </w:p>
    <w:p w14:paraId="3F1A53E4">
      <w:pPr>
        <w:pStyle w:val="30"/>
        <w:bidi w:val="0"/>
        <w:rPr>
          <w:rFonts w:hint="eastAsia"/>
          <w:lang w:val="en-US" w:eastAsia="zh-CN"/>
        </w:rPr>
      </w:pPr>
      <w:bookmarkStart w:id="9" w:name="_Toc11894"/>
      <w:r>
        <w:rPr>
          <w:rFonts w:hint="eastAsia"/>
          <w:lang w:val="en-US" w:eastAsia="zh-CN"/>
        </w:rPr>
        <w:t>研发部</w:t>
      </w:r>
      <w:bookmarkEnd w:id="9"/>
    </w:p>
    <w:p w14:paraId="23453D53">
      <w:pPr>
        <w:pStyle w:val="29"/>
        <w:bidi w:val="0"/>
        <w:rPr>
          <w:rFonts w:hint="eastAsia"/>
          <w:lang w:val="en-US" w:eastAsia="zh-CN"/>
        </w:rPr>
      </w:pPr>
      <w:r>
        <w:t>负责与运维相关的技术研发工作，包括组织制定和实施运维软件技术研发方案、运维手册编制、运维工具开发、运维技术支持，以及发现问题后解决方案的编制</w:t>
      </w:r>
    </w:p>
    <w:p w14:paraId="1E552A78">
      <w:pPr>
        <w:pStyle w:val="30"/>
        <w:bidi w:val="0"/>
        <w:rPr>
          <w:rFonts w:hint="eastAsia"/>
          <w:lang w:val="en-US" w:eastAsia="zh-CN"/>
        </w:rPr>
      </w:pPr>
      <w:bookmarkStart w:id="10" w:name="_Toc21029"/>
      <w:r>
        <w:rPr>
          <w:rFonts w:hint="eastAsia"/>
          <w:lang w:val="en-US" w:eastAsia="zh-CN"/>
        </w:rPr>
        <w:t>质量管理部</w:t>
      </w:r>
      <w:bookmarkEnd w:id="10"/>
    </w:p>
    <w:p w14:paraId="717EB334">
      <w:pPr>
        <w:pStyle w:val="29"/>
        <w:rPr>
          <w:rFonts w:hint="eastAsia"/>
          <w:lang w:val="en-US" w:eastAsia="zh-CN"/>
        </w:rPr>
      </w:pPr>
      <w:r>
        <w:rPr>
          <w:rFonts w:hint="eastAsia"/>
          <w:lang w:val="en-US" w:eastAsia="zh-CN"/>
        </w:rPr>
        <w:t>负责监督服务目录管理流程的执行符合公司质量管理体系要求。</w:t>
      </w:r>
    </w:p>
    <w:p w14:paraId="79C22838">
      <w:pPr>
        <w:pStyle w:val="29"/>
        <w:rPr>
          <w:rFonts w:hint="eastAsia"/>
          <w:lang w:val="en-US" w:eastAsia="zh-CN"/>
        </w:rPr>
      </w:pPr>
      <w:r>
        <w:rPr>
          <w:rFonts w:hint="eastAsia"/>
          <w:lang w:val="en-US" w:eastAsia="zh-CN"/>
        </w:rPr>
        <w:t>参与服务目录评审，确保服务目标、标准设定合理、可测量。</w:t>
      </w:r>
    </w:p>
    <w:p w14:paraId="385A800C">
      <w:pPr>
        <w:pStyle w:val="29"/>
        <w:rPr>
          <w:rFonts w:hint="eastAsia"/>
          <w:lang w:val="en-US" w:eastAsia="zh-CN"/>
        </w:rPr>
      </w:pPr>
      <w:r>
        <w:rPr>
          <w:rFonts w:hint="eastAsia"/>
          <w:lang w:val="en-US" w:eastAsia="zh-CN"/>
        </w:rPr>
        <w:t>归档已发布的服务目录正式版本。</w:t>
      </w:r>
    </w:p>
    <w:p w14:paraId="2EA95BC7">
      <w:pPr>
        <w:pStyle w:val="30"/>
        <w:bidi w:val="0"/>
        <w:rPr>
          <w:rFonts w:hint="eastAsia"/>
          <w:lang w:val="en-US" w:eastAsia="zh-CN"/>
        </w:rPr>
      </w:pPr>
      <w:bookmarkStart w:id="11" w:name="_Toc11508"/>
      <w:r>
        <w:rPr>
          <w:rFonts w:hint="eastAsia"/>
          <w:lang w:val="en-US" w:eastAsia="zh-CN"/>
        </w:rPr>
        <w:t>人力资源部</w:t>
      </w:r>
      <w:bookmarkEnd w:id="11"/>
    </w:p>
    <w:p w14:paraId="74637CC4">
      <w:pPr>
        <w:pStyle w:val="29"/>
        <w:rPr>
          <w:rFonts w:hint="eastAsia"/>
          <w:lang w:val="en-US" w:eastAsia="zh-CN"/>
        </w:rPr>
      </w:pPr>
      <w:r>
        <w:rPr>
          <w:rFonts w:hint="eastAsia"/>
          <w:lang w:val="en-US" w:eastAsia="zh-CN"/>
        </w:rPr>
        <w:t>根据服务目录所定义的服务能力要求，配合进行相关人才的招聘、培训和能力评估。</w:t>
      </w:r>
    </w:p>
    <w:p w14:paraId="16AE174A">
      <w:pPr>
        <w:pStyle w:val="30"/>
        <w:bidi w:val="0"/>
        <w:rPr>
          <w:rFonts w:hint="eastAsia"/>
          <w:lang w:val="en-US" w:eastAsia="zh-CN"/>
        </w:rPr>
      </w:pPr>
      <w:bookmarkStart w:id="12" w:name="_Toc358"/>
      <w:r>
        <w:rPr>
          <w:rFonts w:hint="eastAsia"/>
          <w:lang w:val="en-US" w:eastAsia="zh-CN"/>
        </w:rPr>
        <w:t>应急管理部</w:t>
      </w:r>
      <w:bookmarkEnd w:id="12"/>
    </w:p>
    <w:p w14:paraId="27B83E58">
      <w:pPr>
        <w:pStyle w:val="29"/>
        <w:rPr>
          <w:rFonts w:hint="eastAsia"/>
          <w:lang w:val="en-US" w:eastAsia="zh-CN"/>
        </w:rPr>
      </w:pPr>
      <w:r>
        <w:rPr>
          <w:rFonts w:hint="eastAsia"/>
          <w:lang w:val="en-US" w:eastAsia="zh-CN"/>
        </w:rPr>
        <w:t>针对服务目录中涉及业务连续性与应急响应的服务项，提供专业评审意见。</w:t>
      </w:r>
    </w:p>
    <w:p w14:paraId="49588847">
      <w:pPr>
        <w:pStyle w:val="30"/>
        <w:bidi w:val="0"/>
        <w:rPr>
          <w:rFonts w:hint="eastAsia"/>
          <w:lang w:val="en-US" w:eastAsia="zh-CN"/>
        </w:rPr>
      </w:pPr>
      <w:bookmarkStart w:id="13" w:name="_Toc29216"/>
      <w:r>
        <w:rPr>
          <w:rFonts w:hint="eastAsia"/>
          <w:lang w:val="en-US" w:eastAsia="zh-CN"/>
        </w:rPr>
        <w:t>管理者代表</w:t>
      </w:r>
      <w:bookmarkEnd w:id="13"/>
    </w:p>
    <w:p w14:paraId="62D212CD">
      <w:pPr>
        <w:pStyle w:val="29"/>
        <w:rPr>
          <w:rFonts w:hint="eastAsia"/>
          <w:lang w:val="en-US" w:eastAsia="zh-CN"/>
        </w:rPr>
      </w:pPr>
      <w:r>
        <w:rPr>
          <w:rFonts w:hint="eastAsia"/>
          <w:lang w:val="en-US" w:eastAsia="zh-CN"/>
        </w:rPr>
        <w:t>负责审批和签发正式的组织级服务目录及其重大修订。</w:t>
      </w:r>
    </w:p>
    <w:p w14:paraId="7B31EE87">
      <w:pPr>
        <w:pStyle w:val="29"/>
        <w:rPr>
          <w:rFonts w:hint="eastAsia"/>
          <w:lang w:val="en-US" w:eastAsia="zh-CN"/>
        </w:rPr>
      </w:pPr>
      <w:r>
        <w:rPr>
          <w:rFonts w:hint="eastAsia"/>
          <w:lang w:val="en-US" w:eastAsia="zh-CN"/>
        </w:rPr>
        <w:t>参与服务目录的定期战略评审。</w:t>
      </w:r>
    </w:p>
    <w:p w14:paraId="5752EF32">
      <w:pPr>
        <w:pStyle w:val="28"/>
        <w:bidi w:val="0"/>
        <w:rPr>
          <w:rFonts w:hint="eastAsia"/>
          <w:lang w:val="en-US" w:eastAsia="zh-CN"/>
        </w:rPr>
      </w:pPr>
      <w:bookmarkStart w:id="14" w:name="_Toc16301"/>
      <w:r>
        <w:rPr>
          <w:rFonts w:hint="eastAsia"/>
          <w:lang w:val="en-US" w:eastAsia="zh-CN"/>
        </w:rPr>
        <w:t>服务目录管理流程</w:t>
      </w:r>
      <w:bookmarkEnd w:id="14"/>
    </w:p>
    <w:p w14:paraId="291CC298">
      <w:pPr>
        <w:pStyle w:val="30"/>
        <w:bidi w:val="0"/>
        <w:rPr>
          <w:rFonts w:hint="eastAsia"/>
          <w:lang w:val="en-US" w:eastAsia="zh-CN"/>
        </w:rPr>
      </w:pPr>
      <w:bookmarkStart w:id="15" w:name="_Toc31240"/>
      <w:r>
        <w:rPr>
          <w:rFonts w:hint="eastAsia"/>
          <w:lang w:val="en-US" w:eastAsia="zh-CN"/>
        </w:rPr>
        <w:t>服务目录的建立</w:t>
      </w:r>
      <w:bookmarkEnd w:id="15"/>
    </w:p>
    <w:p w14:paraId="24C55934">
      <w:pPr>
        <w:pStyle w:val="29"/>
        <w:rPr>
          <w:rFonts w:hint="eastAsia"/>
          <w:lang w:val="en-US" w:eastAsia="zh-CN"/>
        </w:rPr>
      </w:pPr>
      <w:r>
        <w:rPr>
          <w:rFonts w:hint="eastAsia"/>
          <w:lang w:val="en-US" w:eastAsia="zh-CN"/>
        </w:rPr>
        <w:t>运维部牵头，协同研发部、质量管理部等部门，基于公司战略、市场需求、技术能力和历史运维数据，编制初始的《组织级运维服务目录》。</w:t>
      </w:r>
    </w:p>
    <w:p w14:paraId="4C3362FC">
      <w:pPr>
        <w:pStyle w:val="29"/>
        <w:rPr>
          <w:rFonts w:hint="eastAsia"/>
          <w:lang w:val="en-US" w:eastAsia="zh-CN"/>
        </w:rPr>
      </w:pPr>
      <w:r>
        <w:rPr>
          <w:rFonts w:hint="eastAsia"/>
          <w:lang w:val="en-US" w:eastAsia="zh-CN"/>
        </w:rPr>
        <w:t>服务目录内容应至少包括：服务分类、服务名称、服务描述、服务目标/关键指标（KPI）、服务时间、交付物、交付周期等。</w:t>
      </w:r>
    </w:p>
    <w:p w14:paraId="0B75EE4E">
      <w:pPr>
        <w:pStyle w:val="29"/>
        <w:rPr>
          <w:rFonts w:hint="eastAsia"/>
          <w:lang w:val="en-US" w:eastAsia="zh-CN"/>
        </w:rPr>
      </w:pPr>
      <w:r>
        <w:rPr>
          <w:rFonts w:hint="eastAsia"/>
          <w:lang w:val="en-US" w:eastAsia="zh-CN"/>
        </w:rPr>
        <w:t>项目级服务目录应在合同签署前，由项目组会同销售、运维部，依据组织级目录和客户具体需求编制，并作为合同附件。</w:t>
      </w:r>
    </w:p>
    <w:p w14:paraId="46D3A59D">
      <w:pPr>
        <w:pStyle w:val="30"/>
        <w:bidi w:val="0"/>
        <w:rPr>
          <w:rFonts w:hint="eastAsia"/>
          <w:lang w:val="en-US" w:eastAsia="zh-CN"/>
        </w:rPr>
      </w:pPr>
      <w:bookmarkStart w:id="16" w:name="_Toc7015"/>
      <w:r>
        <w:rPr>
          <w:rFonts w:hint="eastAsia"/>
          <w:lang w:val="en-US" w:eastAsia="zh-CN"/>
        </w:rPr>
        <w:t>服务目录的评审</w:t>
      </w:r>
      <w:bookmarkEnd w:id="16"/>
    </w:p>
    <w:p w14:paraId="26A18438">
      <w:pPr>
        <w:pStyle w:val="29"/>
        <w:rPr>
          <w:rFonts w:hint="eastAsia"/>
          <w:lang w:val="en-US" w:eastAsia="zh-CN"/>
        </w:rPr>
      </w:pPr>
      <w:r>
        <w:rPr>
          <w:rFonts w:hint="eastAsia"/>
          <w:lang w:val="en-US" w:eastAsia="zh-CN"/>
        </w:rPr>
        <w:t>定期评审：每年至少进行一次全面的服务目录评审。评审需分析市场趋势、公司业务规划、过往服务绩效及客户反馈，以确定目录的适用性。</w:t>
      </w:r>
    </w:p>
    <w:p w14:paraId="2DBA5CEC">
      <w:pPr>
        <w:pStyle w:val="29"/>
        <w:rPr>
          <w:rFonts w:hint="eastAsia"/>
          <w:lang w:val="en-US" w:eastAsia="zh-CN"/>
        </w:rPr>
      </w:pPr>
      <w:r>
        <w:rPr>
          <w:rFonts w:hint="eastAsia"/>
          <w:lang w:val="en-US" w:eastAsia="zh-CN"/>
        </w:rPr>
        <w:t>触发评审：当出现重大技术变革、市场需求显著变化、公司战略调整或日常使用中发现严重不适配时，可由相关部门提议启动临时评审。</w:t>
      </w:r>
    </w:p>
    <w:p w14:paraId="2B91A4B3">
      <w:pPr>
        <w:pStyle w:val="29"/>
        <w:rPr>
          <w:rFonts w:hint="eastAsia"/>
          <w:lang w:val="en-US" w:eastAsia="zh-CN"/>
        </w:rPr>
      </w:pPr>
      <w:r>
        <w:rPr>
          <w:rFonts w:hint="eastAsia"/>
          <w:lang w:val="en-US" w:eastAsia="zh-CN"/>
        </w:rPr>
        <w:t>评审会议由运维部组织，相关部门负责人参加，形成评审结论与行动计划。</w:t>
      </w:r>
    </w:p>
    <w:p w14:paraId="50F2603F">
      <w:pPr>
        <w:pStyle w:val="30"/>
        <w:bidi w:val="0"/>
        <w:rPr>
          <w:rFonts w:hint="eastAsia"/>
          <w:lang w:val="en-US" w:eastAsia="zh-CN"/>
        </w:rPr>
      </w:pPr>
      <w:bookmarkStart w:id="17" w:name="_Toc22949"/>
      <w:r>
        <w:rPr>
          <w:rFonts w:hint="eastAsia"/>
          <w:lang w:val="en-US" w:eastAsia="zh-CN"/>
        </w:rPr>
        <w:t>服务目录的修订与验证</w:t>
      </w:r>
      <w:bookmarkEnd w:id="17"/>
    </w:p>
    <w:p w14:paraId="4E8C3BAC">
      <w:pPr>
        <w:pStyle w:val="29"/>
        <w:rPr>
          <w:rFonts w:hint="eastAsia"/>
          <w:lang w:val="en-US" w:eastAsia="zh-CN"/>
        </w:rPr>
      </w:pPr>
      <w:r>
        <w:rPr>
          <w:rFonts w:hint="eastAsia"/>
          <w:lang w:val="en-US" w:eastAsia="zh-CN"/>
        </w:rPr>
        <w:t>根据评审结论决定修订后，由运维部负责具体修订工作。</w:t>
      </w:r>
    </w:p>
    <w:p w14:paraId="1E76551C">
      <w:pPr>
        <w:pStyle w:val="29"/>
        <w:rPr>
          <w:rFonts w:hint="eastAsia"/>
          <w:lang w:val="en-US" w:eastAsia="zh-CN"/>
        </w:rPr>
      </w:pPr>
      <w:r>
        <w:rPr>
          <w:rFonts w:hint="eastAsia"/>
          <w:lang w:val="en-US" w:eastAsia="zh-CN"/>
        </w:rPr>
        <w:t>修订内容需在小范围或模拟环境中进行可行性验证，确保其能有效支撑服务交付。</w:t>
      </w:r>
    </w:p>
    <w:p w14:paraId="489B4140">
      <w:pPr>
        <w:pStyle w:val="29"/>
        <w:rPr>
          <w:rFonts w:hint="eastAsia"/>
          <w:lang w:val="en-US" w:eastAsia="zh-CN"/>
        </w:rPr>
      </w:pPr>
      <w:r>
        <w:rPr>
          <w:rFonts w:hint="eastAsia"/>
          <w:lang w:val="en-US" w:eastAsia="zh-CN"/>
        </w:rPr>
        <w:t>修订后的草案需再次经过跨部门评审。</w:t>
      </w:r>
    </w:p>
    <w:p w14:paraId="341F77AC">
      <w:pPr>
        <w:pStyle w:val="30"/>
        <w:bidi w:val="0"/>
        <w:rPr>
          <w:rFonts w:hint="eastAsia"/>
          <w:lang w:val="en-US" w:eastAsia="zh-CN"/>
        </w:rPr>
      </w:pPr>
      <w:bookmarkStart w:id="18" w:name="_Toc15558"/>
      <w:r>
        <w:rPr>
          <w:rFonts w:hint="eastAsia"/>
          <w:lang w:val="en-US" w:eastAsia="zh-CN"/>
        </w:rPr>
        <w:t>服务目录的发布</w:t>
      </w:r>
      <w:bookmarkEnd w:id="18"/>
    </w:p>
    <w:p w14:paraId="5BD565EC">
      <w:pPr>
        <w:pStyle w:val="29"/>
        <w:rPr>
          <w:rFonts w:hint="eastAsia"/>
          <w:lang w:val="en-US" w:eastAsia="zh-CN"/>
        </w:rPr>
      </w:pPr>
      <w:r>
        <w:rPr>
          <w:rFonts w:hint="eastAsia"/>
          <w:lang w:val="en-US" w:eastAsia="zh-CN"/>
        </w:rPr>
        <w:t>组织级服务目录及其重大修订版，由运维部提交至公司管理层批准。</w:t>
      </w:r>
    </w:p>
    <w:p w14:paraId="3CB565BF">
      <w:pPr>
        <w:pStyle w:val="29"/>
        <w:rPr>
          <w:rFonts w:hint="eastAsia"/>
          <w:lang w:val="en-US" w:eastAsia="zh-CN"/>
        </w:rPr>
      </w:pPr>
      <w:r>
        <w:rPr>
          <w:rFonts w:hint="eastAsia"/>
          <w:lang w:val="en-US" w:eastAsia="zh-CN"/>
        </w:rPr>
        <w:t>发布流程如下：</w:t>
      </w:r>
    </w:p>
    <w:p w14:paraId="6645C4A0">
      <w:pPr>
        <w:pStyle w:val="29"/>
        <w:numPr>
          <w:ilvl w:val="0"/>
          <w:numId w:val="2"/>
        </w:numPr>
        <w:ind w:left="425" w:leftChars="0" w:hanging="425" w:firstLineChars="0"/>
        <w:rPr>
          <w:rFonts w:hint="default"/>
          <w:lang w:val="en-US" w:eastAsia="zh-CN"/>
        </w:rPr>
      </w:pPr>
      <w:r>
        <w:rPr>
          <w:rFonts w:hint="default"/>
          <w:lang w:val="en-US" w:eastAsia="zh-CN"/>
        </w:rPr>
        <w:t>发布前，由运维部组织在试点项目或相关团队中进行试运行，验证新/修订服务项的可行性和准确性，并形成《服务目录试运行确认单》。</w:t>
      </w:r>
    </w:p>
    <w:p w14:paraId="53A4AE63">
      <w:pPr>
        <w:pStyle w:val="29"/>
        <w:numPr>
          <w:ilvl w:val="0"/>
          <w:numId w:val="2"/>
        </w:numPr>
        <w:ind w:left="425" w:leftChars="0" w:hanging="425" w:firstLineChars="0"/>
        <w:rPr>
          <w:rFonts w:hint="eastAsia"/>
          <w:lang w:val="en-US" w:eastAsia="zh-CN"/>
        </w:rPr>
      </w:pPr>
      <w:r>
        <w:rPr>
          <w:rFonts w:hint="eastAsia"/>
          <w:lang w:val="en-US" w:eastAsia="zh-CN"/>
        </w:rPr>
        <w:t>运维部将批准后的最终版本文档，提交至质量管理部进行受控归档，获取唯一版本编号。</w:t>
      </w:r>
    </w:p>
    <w:p w14:paraId="402B5E38">
      <w:pPr>
        <w:pStyle w:val="29"/>
        <w:numPr>
          <w:ilvl w:val="0"/>
          <w:numId w:val="2"/>
        </w:numPr>
        <w:ind w:left="425" w:leftChars="0" w:hanging="425" w:firstLineChars="0"/>
        <w:rPr>
          <w:rFonts w:hint="eastAsia"/>
          <w:lang w:val="en-US" w:eastAsia="zh-CN"/>
        </w:rPr>
      </w:pPr>
      <w:r>
        <w:rPr>
          <w:rFonts w:hint="eastAsia"/>
          <w:lang w:val="en-US" w:eastAsia="zh-CN"/>
        </w:rPr>
        <w:t>运维部通过公司指定的正式渠道发布生效通知及文档链接/附件。</w:t>
      </w:r>
    </w:p>
    <w:p w14:paraId="7EC6EB7F">
      <w:pPr>
        <w:pStyle w:val="29"/>
        <w:numPr>
          <w:ilvl w:val="0"/>
          <w:numId w:val="2"/>
        </w:numPr>
        <w:ind w:left="425" w:leftChars="0" w:hanging="425" w:firstLineChars="0"/>
        <w:rPr>
          <w:rFonts w:hint="eastAsia"/>
          <w:lang w:val="en-US" w:eastAsia="zh-CN"/>
        </w:rPr>
      </w:pPr>
      <w:r>
        <w:rPr>
          <w:rFonts w:hint="eastAsia"/>
          <w:lang w:val="en-US" w:eastAsia="zh-CN"/>
        </w:rPr>
        <w:t>发布范围必须涵盖所有相关使用部门：各运维交付部门、研发部、人力资源部、质量管理部及公司管理层。</w:t>
      </w:r>
    </w:p>
    <w:p w14:paraId="4574EBCE">
      <w:pPr>
        <w:pStyle w:val="29"/>
        <w:numPr>
          <w:ilvl w:val="0"/>
          <w:numId w:val="2"/>
        </w:numPr>
        <w:ind w:left="425" w:leftChars="0" w:hanging="425" w:firstLineChars="0"/>
        <w:rPr>
          <w:rFonts w:hint="eastAsia"/>
          <w:lang w:val="en-US" w:eastAsia="zh-CN"/>
        </w:rPr>
      </w:pPr>
      <w:r>
        <w:rPr>
          <w:rFonts w:hint="eastAsia"/>
          <w:lang w:val="en-US" w:eastAsia="zh-CN"/>
        </w:rPr>
        <w:t>发布通知中需明确新版本生效日期，并同步废止旧版本。</w:t>
      </w:r>
    </w:p>
    <w:p w14:paraId="546B6EF1">
      <w:pPr>
        <w:pStyle w:val="29"/>
        <w:numPr>
          <w:ilvl w:val="0"/>
          <w:numId w:val="2"/>
        </w:numPr>
        <w:ind w:left="425" w:leftChars="0" w:hanging="425" w:firstLineChars="0"/>
        <w:rPr>
          <w:rFonts w:hint="eastAsia"/>
          <w:lang w:val="en-US" w:eastAsia="zh-CN"/>
        </w:rPr>
      </w:pPr>
      <w:r>
        <w:rPr>
          <w:rFonts w:hint="eastAsia"/>
          <w:lang w:val="en-US" w:eastAsia="zh-CN"/>
        </w:rPr>
        <w:t>项目级服务目录随合同或SLA一同发布生效。</w:t>
      </w:r>
    </w:p>
    <w:p w14:paraId="186942DA">
      <w:pPr>
        <w:pStyle w:val="30"/>
        <w:bidi w:val="0"/>
        <w:rPr>
          <w:rFonts w:hint="eastAsia"/>
          <w:lang w:val="en-US" w:eastAsia="zh-CN"/>
        </w:rPr>
      </w:pPr>
      <w:bookmarkStart w:id="19" w:name="_Toc27395"/>
      <w:r>
        <w:rPr>
          <w:rFonts w:hint="eastAsia"/>
          <w:lang w:val="en-US" w:eastAsia="zh-CN"/>
        </w:rPr>
        <w:t>服务目录的使用</w:t>
      </w:r>
      <w:bookmarkEnd w:id="19"/>
    </w:p>
    <w:p w14:paraId="30E1E990">
      <w:pPr>
        <w:pStyle w:val="29"/>
        <w:rPr>
          <w:rFonts w:hint="eastAsia"/>
          <w:lang w:val="en-US" w:eastAsia="zh-CN"/>
        </w:rPr>
      </w:pPr>
      <w:r>
        <w:rPr>
          <w:rFonts w:hint="eastAsia"/>
          <w:lang w:val="en-US" w:eastAsia="zh-CN"/>
        </w:rPr>
        <w:t>服务目录是与客户沟通、方案设计与合同谈判的官方依据。</w:t>
      </w:r>
    </w:p>
    <w:p w14:paraId="77E6806A">
      <w:pPr>
        <w:pStyle w:val="29"/>
        <w:rPr>
          <w:rFonts w:hint="eastAsia"/>
          <w:lang w:val="en-US" w:eastAsia="zh-CN"/>
        </w:rPr>
      </w:pPr>
      <w:r>
        <w:rPr>
          <w:rFonts w:hint="eastAsia"/>
          <w:lang w:val="en-US" w:eastAsia="zh-CN"/>
        </w:rPr>
        <w:t>服务交付团队必须依据服务目录中定义的内容和标准执行服务。</w:t>
      </w:r>
    </w:p>
    <w:p w14:paraId="029DC79F">
      <w:pPr>
        <w:pStyle w:val="29"/>
        <w:rPr>
          <w:rFonts w:hint="eastAsia"/>
          <w:lang w:val="en-US" w:eastAsia="zh-CN"/>
        </w:rPr>
      </w:pPr>
      <w:r>
        <w:rPr>
          <w:rFonts w:hint="eastAsia"/>
          <w:lang w:val="en-US" w:eastAsia="zh-CN"/>
        </w:rPr>
        <w:t>任何人员不得擅自曲解或更改已发布服务目录中的既定内容。对目录的疑问应由运维部统一解答。</w:t>
      </w:r>
    </w:p>
    <w:p w14:paraId="292317ED">
      <w:pPr>
        <w:pStyle w:val="28"/>
        <w:bidi w:val="0"/>
        <w:rPr>
          <w:rFonts w:hint="eastAsia"/>
          <w:lang w:val="en-US" w:eastAsia="zh-CN"/>
        </w:rPr>
      </w:pPr>
      <w:bookmarkStart w:id="20" w:name="_Toc1501"/>
      <w:r>
        <w:rPr>
          <w:rFonts w:hint="eastAsia"/>
          <w:lang w:val="en-US" w:eastAsia="zh-CN"/>
        </w:rPr>
        <w:t>持续改进</w:t>
      </w:r>
      <w:bookmarkEnd w:id="20"/>
    </w:p>
    <w:p w14:paraId="6DCFBB50">
      <w:pPr>
        <w:pStyle w:val="29"/>
        <w:rPr>
          <w:rFonts w:hint="eastAsia"/>
          <w:lang w:val="en-US" w:eastAsia="zh-CN"/>
        </w:rPr>
      </w:pPr>
      <w:r>
        <w:rPr>
          <w:rFonts w:hint="eastAsia"/>
          <w:lang w:val="en-US" w:eastAsia="zh-CN"/>
        </w:rPr>
        <w:t>为确保服务目录始终符合业务发展、客户需求及公司服务能力，建立以下持续改进机制，形成“规划-发布-执行-检查-改进（PDCA）”的管理闭环。</w:t>
      </w:r>
    </w:p>
    <w:p w14:paraId="4A90C97E">
      <w:pPr>
        <w:pStyle w:val="30"/>
        <w:bidi w:val="0"/>
        <w:rPr>
          <w:rFonts w:hint="eastAsia"/>
          <w:lang w:val="en-US" w:eastAsia="zh-CN"/>
        </w:rPr>
      </w:pPr>
      <w:r>
        <w:rPr>
          <w:rFonts w:hint="eastAsia"/>
          <w:lang w:val="en-US" w:eastAsia="zh-CN"/>
        </w:rPr>
        <w:t>监控与测量</w:t>
      </w:r>
    </w:p>
    <w:p w14:paraId="08ECC30E">
      <w:pPr>
        <w:pStyle w:val="29"/>
        <w:rPr>
          <w:rFonts w:hint="eastAsia"/>
          <w:lang w:val="en-US" w:eastAsia="zh-CN"/>
        </w:rPr>
      </w:pPr>
      <w:r>
        <w:rPr>
          <w:rFonts w:hint="eastAsia"/>
          <w:lang w:val="en-US" w:eastAsia="zh-CN"/>
        </w:rPr>
        <w:t>质量管理部与运维部应共同负责对服务目录执行情况的日常监控与数据采集。</w:t>
      </w:r>
    </w:p>
    <w:p w14:paraId="755EDB20">
      <w:pPr>
        <w:pStyle w:val="29"/>
        <w:numPr>
          <w:ilvl w:val="0"/>
          <w:numId w:val="3"/>
        </w:numPr>
        <w:ind w:left="425" w:leftChars="0" w:hanging="425" w:firstLineChars="0"/>
        <w:rPr>
          <w:rFonts w:hint="eastAsia"/>
          <w:lang w:val="en-US" w:eastAsia="zh-CN"/>
        </w:rPr>
      </w:pPr>
      <w:r>
        <w:rPr>
          <w:rFonts w:hint="eastAsia"/>
          <w:lang w:val="en-US" w:eastAsia="zh-CN"/>
        </w:rPr>
        <w:t>数据采集要求：</w:t>
      </w:r>
    </w:p>
    <w:p w14:paraId="49B7DD26">
      <w:pPr>
        <w:pStyle w:val="29"/>
        <w:rPr>
          <w:rFonts w:hint="eastAsia"/>
          <w:lang w:val="en-US" w:eastAsia="zh-CN"/>
        </w:rPr>
      </w:pPr>
      <w:r>
        <w:rPr>
          <w:rFonts w:hint="eastAsia"/>
          <w:lang w:val="en-US" w:eastAsia="zh-CN"/>
        </w:rPr>
        <w:t>所有基于服务目录的运维活动，必须在工单系统中强制关联对应的服务目录项。</w:t>
      </w:r>
    </w:p>
    <w:p w14:paraId="06E30879">
      <w:pPr>
        <w:pStyle w:val="29"/>
        <w:rPr>
          <w:rFonts w:hint="eastAsia"/>
          <w:lang w:val="en-US" w:eastAsia="zh-CN"/>
        </w:rPr>
      </w:pPr>
      <w:r>
        <w:rPr>
          <w:rFonts w:hint="eastAsia"/>
          <w:lang w:val="en-US" w:eastAsia="zh-CN"/>
        </w:rPr>
        <w:t>工单系统应自动记录以下数据：服务项名称、工单数量、响应时间、解决时长、关闭率、客户满意度评分等。</w:t>
      </w:r>
    </w:p>
    <w:p w14:paraId="37AD0B47">
      <w:pPr>
        <w:pStyle w:val="29"/>
        <w:numPr>
          <w:ilvl w:val="0"/>
          <w:numId w:val="3"/>
        </w:numPr>
        <w:ind w:left="425" w:leftChars="0" w:hanging="425" w:firstLineChars="0"/>
        <w:rPr>
          <w:rFonts w:hint="eastAsia"/>
          <w:lang w:val="en-US" w:eastAsia="zh-CN"/>
        </w:rPr>
      </w:pPr>
      <w:r>
        <w:rPr>
          <w:rFonts w:hint="eastAsia"/>
          <w:lang w:val="en-US" w:eastAsia="zh-CN"/>
        </w:rPr>
        <w:t>分析报告：</w:t>
      </w:r>
    </w:p>
    <w:p w14:paraId="35030E51">
      <w:pPr>
        <w:pStyle w:val="29"/>
        <w:rPr>
          <w:rFonts w:hint="eastAsia"/>
          <w:lang w:val="en-US" w:eastAsia="zh-CN"/>
        </w:rPr>
      </w:pPr>
      <w:r>
        <w:rPr>
          <w:rFonts w:hint="eastAsia"/>
          <w:lang w:val="en-US" w:eastAsia="zh-CN"/>
        </w:rPr>
        <w:t>质量管理部应每季度向运维部提交《服务目录关联分析报告》。</w:t>
      </w:r>
    </w:p>
    <w:p w14:paraId="27BB5072">
      <w:pPr>
        <w:pStyle w:val="29"/>
        <w:rPr>
          <w:rFonts w:hint="eastAsia"/>
          <w:lang w:val="en-US" w:eastAsia="zh-CN"/>
        </w:rPr>
      </w:pPr>
      <w:r>
        <w:rPr>
          <w:rFonts w:hint="eastAsia"/>
          <w:lang w:val="en-US" w:eastAsia="zh-CN"/>
        </w:rPr>
        <w:t>该报告必须包含但不限于以下分析维度：</w:t>
      </w:r>
    </w:p>
    <w:p w14:paraId="6E76E3F2">
      <w:pPr>
        <w:pStyle w:val="29"/>
        <w:rPr>
          <w:rFonts w:hint="eastAsia"/>
          <w:lang w:val="en-US" w:eastAsia="zh-CN"/>
        </w:rPr>
      </w:pPr>
      <w:r>
        <w:rPr>
          <w:rFonts w:hint="eastAsia"/>
          <w:lang w:val="en-US" w:eastAsia="zh-CN"/>
        </w:rPr>
        <w:t>各服务目录项的工单数量分布及趋势</w:t>
      </w:r>
    </w:p>
    <w:p w14:paraId="7872CDFC">
      <w:pPr>
        <w:pStyle w:val="29"/>
        <w:rPr>
          <w:rFonts w:hint="eastAsia"/>
          <w:lang w:val="en-US" w:eastAsia="zh-CN"/>
        </w:rPr>
      </w:pPr>
      <w:r>
        <w:rPr>
          <w:rFonts w:hint="eastAsia"/>
          <w:lang w:val="en-US" w:eastAsia="zh-CN"/>
        </w:rPr>
        <w:t>各服务目录项的平均解决时长及达标率</w:t>
      </w:r>
    </w:p>
    <w:p w14:paraId="2263DE55">
      <w:pPr>
        <w:pStyle w:val="29"/>
        <w:rPr>
          <w:rFonts w:hint="eastAsia"/>
          <w:lang w:val="en-US" w:eastAsia="zh-CN"/>
        </w:rPr>
      </w:pPr>
      <w:r>
        <w:rPr>
          <w:rFonts w:hint="eastAsia"/>
          <w:lang w:val="en-US" w:eastAsia="zh-CN"/>
        </w:rPr>
        <w:t>各服务目录项的客户满意度评分</w:t>
      </w:r>
    </w:p>
    <w:p w14:paraId="509650EF">
      <w:pPr>
        <w:pStyle w:val="29"/>
        <w:rPr>
          <w:rFonts w:hint="eastAsia"/>
          <w:lang w:val="en-US" w:eastAsia="zh-CN"/>
        </w:rPr>
      </w:pPr>
      <w:r>
        <w:rPr>
          <w:rFonts w:hint="eastAsia"/>
          <w:lang w:val="en-US" w:eastAsia="zh-CN"/>
        </w:rPr>
        <w:t>高频故障或低满意度服务项的识别与排序</w:t>
      </w:r>
    </w:p>
    <w:p w14:paraId="265E7B98">
      <w:pPr>
        <w:pStyle w:val="29"/>
        <w:numPr>
          <w:ilvl w:val="0"/>
          <w:numId w:val="3"/>
        </w:numPr>
        <w:ind w:left="425" w:leftChars="0" w:hanging="425" w:firstLineChars="0"/>
        <w:rPr>
          <w:rFonts w:hint="eastAsia"/>
          <w:lang w:val="en-US" w:eastAsia="zh-CN"/>
        </w:rPr>
      </w:pPr>
      <w:r>
        <w:rPr>
          <w:rFonts w:hint="eastAsia"/>
          <w:lang w:val="en-US" w:eastAsia="zh-CN"/>
        </w:rPr>
        <w:t>反馈机制：</w:t>
      </w:r>
    </w:p>
    <w:p w14:paraId="4887B742">
      <w:pPr>
        <w:pStyle w:val="29"/>
        <w:rPr>
          <w:rFonts w:hint="eastAsia"/>
          <w:lang w:val="en-US" w:eastAsia="zh-CN"/>
        </w:rPr>
      </w:pPr>
      <w:r>
        <w:rPr>
          <w:rFonts w:hint="eastAsia"/>
          <w:lang w:val="en-US" w:eastAsia="zh-CN"/>
        </w:rPr>
        <w:t>《服务目录关联分析报告》应同时抄送研发部、人力资源部等相关部门，作为各自改进工作的输入。</w:t>
      </w:r>
    </w:p>
    <w:p w14:paraId="60A048F4">
      <w:pPr>
        <w:pStyle w:val="30"/>
        <w:bidi w:val="0"/>
        <w:rPr>
          <w:rFonts w:hint="eastAsia"/>
          <w:lang w:val="en-US" w:eastAsia="zh-CN"/>
        </w:rPr>
      </w:pPr>
      <w:r>
        <w:rPr>
          <w:rFonts w:hint="eastAsia"/>
          <w:lang w:val="en-US" w:eastAsia="zh-CN"/>
        </w:rPr>
        <w:t>定期评估</w:t>
      </w:r>
    </w:p>
    <w:p w14:paraId="40A30A8A">
      <w:pPr>
        <w:pStyle w:val="29"/>
        <w:rPr>
          <w:rFonts w:hint="eastAsia"/>
          <w:lang w:val="en-US" w:eastAsia="zh-CN"/>
        </w:rPr>
      </w:pPr>
      <w:r>
        <w:rPr>
          <w:rFonts w:hint="eastAsia"/>
          <w:lang w:val="en-US" w:eastAsia="zh-CN"/>
        </w:rPr>
        <w:t>运维部应结合年度评审，系统评估服务目录的整体有效性。</w:t>
      </w:r>
    </w:p>
    <w:p w14:paraId="1F83B914">
      <w:pPr>
        <w:pStyle w:val="29"/>
        <w:numPr>
          <w:ilvl w:val="0"/>
          <w:numId w:val="4"/>
        </w:numPr>
        <w:ind w:left="425" w:leftChars="0" w:hanging="425" w:firstLineChars="0"/>
        <w:rPr>
          <w:rFonts w:hint="eastAsia"/>
          <w:lang w:val="en-US" w:eastAsia="zh-CN"/>
        </w:rPr>
      </w:pPr>
      <w:r>
        <w:rPr>
          <w:rFonts w:hint="eastAsia"/>
          <w:lang w:val="en-US" w:eastAsia="zh-CN"/>
        </w:rPr>
        <w:t>评估频率：每年至少组织一次全面的服务目录评估，作为年度服务目录评审的核心输入。</w:t>
      </w:r>
    </w:p>
    <w:p w14:paraId="13CBD5AF">
      <w:pPr>
        <w:pStyle w:val="29"/>
        <w:numPr>
          <w:ilvl w:val="0"/>
          <w:numId w:val="4"/>
        </w:numPr>
        <w:ind w:left="425" w:leftChars="0" w:hanging="425" w:firstLineChars="0"/>
        <w:rPr>
          <w:rFonts w:hint="eastAsia"/>
          <w:lang w:val="en-US" w:eastAsia="zh-CN"/>
        </w:rPr>
      </w:pPr>
      <w:r>
        <w:rPr>
          <w:rFonts w:hint="eastAsia"/>
          <w:lang w:val="en-US" w:eastAsia="zh-CN"/>
        </w:rPr>
        <w:t>评估内容：</w:t>
      </w:r>
    </w:p>
    <w:p w14:paraId="7BBE0BAC">
      <w:pPr>
        <w:pStyle w:val="29"/>
        <w:rPr>
          <w:rFonts w:hint="eastAsia"/>
          <w:lang w:val="en-US" w:eastAsia="zh-CN"/>
        </w:rPr>
      </w:pPr>
      <w:r>
        <w:rPr>
          <w:rFonts w:hint="eastAsia"/>
          <w:lang w:val="en-US" w:eastAsia="zh-CN"/>
        </w:rPr>
        <w:t>各服务目录项的业务适用性与市场竞争力</w:t>
      </w:r>
    </w:p>
    <w:p w14:paraId="27E79255">
      <w:pPr>
        <w:pStyle w:val="29"/>
        <w:rPr>
          <w:rFonts w:hint="eastAsia"/>
          <w:lang w:val="en-US" w:eastAsia="zh-CN"/>
        </w:rPr>
      </w:pPr>
      <w:r>
        <w:rPr>
          <w:rFonts w:hint="eastAsia"/>
          <w:lang w:val="en-US" w:eastAsia="zh-CN"/>
        </w:rPr>
        <w:t>服务目录与公司现有技术、人员、流程能力的匹配度</w:t>
      </w:r>
    </w:p>
    <w:p w14:paraId="0993AA22">
      <w:pPr>
        <w:pStyle w:val="29"/>
        <w:rPr>
          <w:rFonts w:hint="eastAsia"/>
          <w:lang w:val="en-US" w:eastAsia="zh-CN"/>
        </w:rPr>
      </w:pPr>
      <w:r>
        <w:rPr>
          <w:rFonts w:hint="eastAsia"/>
          <w:lang w:val="en-US" w:eastAsia="zh-CN"/>
        </w:rPr>
        <w:t>上一年度《服务目录关联分析报告》中识别的问题项是否得到有效改进</w:t>
      </w:r>
    </w:p>
    <w:p w14:paraId="649D3B5C">
      <w:pPr>
        <w:pStyle w:val="29"/>
        <w:rPr>
          <w:rFonts w:hint="eastAsia"/>
          <w:lang w:val="en-US" w:eastAsia="zh-CN"/>
        </w:rPr>
      </w:pPr>
      <w:r>
        <w:rPr>
          <w:rFonts w:hint="eastAsia"/>
          <w:lang w:val="en-US" w:eastAsia="zh-CN"/>
        </w:rPr>
        <w:t>客户合同及SLA中对服务目录的引用与使用情况</w:t>
      </w:r>
    </w:p>
    <w:p w14:paraId="32930DEA">
      <w:pPr>
        <w:pStyle w:val="29"/>
        <w:numPr>
          <w:ilvl w:val="0"/>
          <w:numId w:val="4"/>
        </w:numPr>
        <w:ind w:left="425" w:leftChars="0" w:hanging="425" w:firstLineChars="0"/>
        <w:rPr>
          <w:rFonts w:hint="eastAsia"/>
          <w:lang w:val="en-US" w:eastAsia="zh-CN"/>
        </w:rPr>
      </w:pPr>
      <w:r>
        <w:rPr>
          <w:rFonts w:hint="eastAsia"/>
          <w:lang w:val="en-US" w:eastAsia="zh-CN"/>
        </w:rPr>
        <w:t>参与部门：评估会议由运维部组织，质量管理部、研发部、人力资源部、应急管理部等相关部门负责人参加。</w:t>
      </w:r>
    </w:p>
    <w:p w14:paraId="506DBA08">
      <w:pPr>
        <w:pStyle w:val="30"/>
        <w:bidi w:val="0"/>
        <w:rPr>
          <w:rFonts w:hint="eastAsia"/>
          <w:lang w:val="en-US" w:eastAsia="zh-CN"/>
        </w:rPr>
      </w:pPr>
      <w:r>
        <w:rPr>
          <w:rFonts w:hint="eastAsia"/>
          <w:lang w:val="en-US" w:eastAsia="zh-CN"/>
        </w:rPr>
        <w:t>优化循环</w:t>
      </w:r>
    </w:p>
    <w:p w14:paraId="5D163D7C">
      <w:pPr>
        <w:pStyle w:val="29"/>
        <w:rPr>
          <w:rFonts w:hint="eastAsia"/>
          <w:lang w:val="en-US" w:eastAsia="zh-CN"/>
        </w:rPr>
      </w:pPr>
      <w:r>
        <w:rPr>
          <w:rFonts w:hint="eastAsia"/>
          <w:lang w:val="en-US" w:eastAsia="zh-CN"/>
        </w:rPr>
        <w:t>依据评估结果，启动服务目录的优化改进流程。</w:t>
      </w:r>
    </w:p>
    <w:p w14:paraId="47A78582">
      <w:pPr>
        <w:pStyle w:val="29"/>
        <w:numPr>
          <w:ilvl w:val="0"/>
          <w:numId w:val="5"/>
        </w:numPr>
        <w:ind w:left="425" w:leftChars="0" w:hanging="425" w:firstLineChars="0"/>
        <w:rPr>
          <w:rFonts w:hint="eastAsia"/>
          <w:lang w:val="en-US" w:eastAsia="zh-CN"/>
        </w:rPr>
      </w:pPr>
      <w:r>
        <w:rPr>
          <w:rFonts w:hint="eastAsia"/>
          <w:lang w:val="en-US" w:eastAsia="zh-CN"/>
        </w:rPr>
        <w:t>改进项分类：</w:t>
      </w:r>
    </w:p>
    <w:p w14:paraId="100FF648">
      <w:pPr>
        <w:pStyle w:val="29"/>
        <w:rPr>
          <w:rFonts w:hint="eastAsia"/>
          <w:lang w:val="en-US" w:eastAsia="zh-CN"/>
        </w:rPr>
      </w:pPr>
      <w:r>
        <w:rPr>
          <w:rFonts w:hint="eastAsia"/>
          <w:lang w:val="en-US" w:eastAsia="zh-CN"/>
        </w:rPr>
        <w:t>纠正性改进：针对已识别的问题（如某服务项工单量异常高、满意度持续偏低），需分析根本原因并制定改进措施。</w:t>
      </w:r>
    </w:p>
    <w:p w14:paraId="4FAAD34B">
      <w:pPr>
        <w:pStyle w:val="29"/>
        <w:rPr>
          <w:rFonts w:hint="eastAsia"/>
          <w:lang w:val="en-US" w:eastAsia="zh-CN"/>
        </w:rPr>
      </w:pPr>
      <w:r>
        <w:rPr>
          <w:rFonts w:hint="eastAsia"/>
          <w:lang w:val="en-US" w:eastAsia="zh-CN"/>
        </w:rPr>
        <w:t>预防性改进：基于市场趋势、技术发展预判，主动优化服务目录（如新增服务项、淘汰过时服务项）。</w:t>
      </w:r>
    </w:p>
    <w:p w14:paraId="109BFF7C">
      <w:pPr>
        <w:pStyle w:val="29"/>
        <w:rPr>
          <w:rFonts w:hint="eastAsia"/>
          <w:lang w:val="en-US" w:eastAsia="zh-CN"/>
        </w:rPr>
      </w:pPr>
      <w:r>
        <w:rPr>
          <w:rFonts w:hint="eastAsia"/>
          <w:lang w:val="en-US" w:eastAsia="zh-CN"/>
        </w:rPr>
        <w:t>改进性改进：在现有服务项基础上，提升服务目标、缩短交付周期、优化交付成果。</w:t>
      </w:r>
    </w:p>
    <w:p w14:paraId="6E511CAA">
      <w:pPr>
        <w:pStyle w:val="29"/>
        <w:numPr>
          <w:ilvl w:val="0"/>
          <w:numId w:val="5"/>
        </w:numPr>
        <w:ind w:left="425" w:leftChars="0" w:hanging="425" w:firstLineChars="0"/>
        <w:rPr>
          <w:rFonts w:hint="eastAsia"/>
          <w:lang w:val="en-US" w:eastAsia="zh-CN"/>
        </w:rPr>
      </w:pPr>
      <w:r>
        <w:rPr>
          <w:rFonts w:hint="eastAsia"/>
          <w:lang w:val="en-US" w:eastAsia="zh-CN"/>
        </w:rPr>
        <w:t>改进措施要求：</w:t>
      </w:r>
    </w:p>
    <w:p w14:paraId="3121DBD5">
      <w:pPr>
        <w:pStyle w:val="29"/>
        <w:rPr>
          <w:rFonts w:hint="eastAsia"/>
          <w:lang w:val="en-US" w:eastAsia="zh-CN"/>
        </w:rPr>
      </w:pPr>
      <w:r>
        <w:rPr>
          <w:rFonts w:hint="eastAsia"/>
          <w:lang w:val="en-US" w:eastAsia="zh-CN"/>
        </w:rPr>
        <w:t>每一项改进措施必须明确：责任人、完成时限（具体到年月日）、预期效果及验证方法。</w:t>
      </w:r>
    </w:p>
    <w:p w14:paraId="34854B8A">
      <w:pPr>
        <w:pStyle w:val="29"/>
        <w:rPr>
          <w:rFonts w:hint="eastAsia"/>
          <w:lang w:val="en-US" w:eastAsia="zh-CN"/>
        </w:rPr>
      </w:pPr>
      <w:r>
        <w:rPr>
          <w:rFonts w:hint="eastAsia"/>
          <w:lang w:val="en-US" w:eastAsia="zh-CN"/>
        </w:rPr>
        <w:t>改进措施需经过可行性验证（参照3.3 服务目录的修订与验证）。</w:t>
      </w:r>
    </w:p>
    <w:p w14:paraId="37C18741">
      <w:pPr>
        <w:pStyle w:val="29"/>
        <w:numPr>
          <w:ilvl w:val="0"/>
          <w:numId w:val="5"/>
        </w:numPr>
        <w:ind w:left="425" w:leftChars="0" w:hanging="425" w:firstLineChars="0"/>
        <w:rPr>
          <w:rFonts w:hint="eastAsia"/>
          <w:lang w:val="en-US" w:eastAsia="zh-CN"/>
        </w:rPr>
      </w:pPr>
      <w:r>
        <w:rPr>
          <w:rFonts w:hint="eastAsia"/>
          <w:lang w:val="en-US" w:eastAsia="zh-CN"/>
        </w:rPr>
        <w:t>跟踪与验证：</w:t>
      </w:r>
    </w:p>
    <w:p w14:paraId="01210C14">
      <w:pPr>
        <w:pStyle w:val="29"/>
        <w:rPr>
          <w:rFonts w:hint="eastAsia"/>
          <w:lang w:val="en-US" w:eastAsia="zh-CN"/>
        </w:rPr>
      </w:pPr>
      <w:r>
        <w:rPr>
          <w:rFonts w:hint="eastAsia"/>
          <w:lang w:val="en-US" w:eastAsia="zh-CN"/>
        </w:rPr>
        <w:t>运维部负责建立《服务目录改进跟踪表》，逐项记录改进措施的进展情况。</w:t>
      </w:r>
    </w:p>
    <w:p w14:paraId="2716FE03">
      <w:pPr>
        <w:pStyle w:val="29"/>
        <w:rPr>
          <w:rFonts w:hint="eastAsia"/>
          <w:lang w:val="en-US" w:eastAsia="zh-CN"/>
        </w:rPr>
      </w:pPr>
      <w:r>
        <w:rPr>
          <w:rFonts w:hint="eastAsia"/>
          <w:lang w:val="en-US" w:eastAsia="zh-CN"/>
        </w:rPr>
        <w:t>改进措施完成后，由质量管理部负责验证其有效性，并在《服务目录改进跟踪表》中记录验证结论。</w:t>
      </w:r>
    </w:p>
    <w:p w14:paraId="72982EED">
      <w:pPr>
        <w:pStyle w:val="29"/>
        <w:rPr>
          <w:rFonts w:hint="eastAsia"/>
          <w:lang w:val="en-US" w:eastAsia="zh-CN"/>
        </w:rPr>
      </w:pPr>
      <w:r>
        <w:rPr>
          <w:rFonts w:hint="eastAsia"/>
          <w:lang w:val="en-US" w:eastAsia="zh-CN"/>
        </w:rPr>
        <w:t>对于验证未通过的改进项，需重新分析原因并制定新的改进措施，形成闭环。</w:t>
      </w:r>
    </w:p>
    <w:p w14:paraId="15D35355">
      <w:pPr>
        <w:pStyle w:val="30"/>
        <w:bidi w:val="0"/>
        <w:rPr>
          <w:rFonts w:hint="eastAsia"/>
          <w:lang w:val="en-US" w:eastAsia="zh-CN"/>
        </w:rPr>
      </w:pPr>
      <w:r>
        <w:rPr>
          <w:rFonts w:hint="eastAsia"/>
          <w:lang w:val="en-US" w:eastAsia="zh-CN"/>
        </w:rPr>
        <w:t>知识固化</w:t>
      </w:r>
    </w:p>
    <w:p w14:paraId="3FEF1AAD">
      <w:pPr>
        <w:pStyle w:val="29"/>
        <w:rPr>
          <w:rFonts w:hint="eastAsia"/>
          <w:lang w:val="en-US" w:eastAsia="zh-CN"/>
        </w:rPr>
      </w:pPr>
      <w:r>
        <w:rPr>
          <w:rFonts w:hint="eastAsia"/>
          <w:lang w:val="en-US" w:eastAsia="zh-CN"/>
        </w:rPr>
        <w:t>将服务目录的持续改进成果纳入公司服务知识，为后续管理决策提供支持。</w:t>
      </w:r>
    </w:p>
    <w:p w14:paraId="05B18A39">
      <w:pPr>
        <w:pStyle w:val="29"/>
        <w:numPr>
          <w:ilvl w:val="0"/>
          <w:numId w:val="6"/>
        </w:numPr>
        <w:ind w:left="425" w:leftChars="0" w:hanging="425" w:firstLineChars="0"/>
        <w:rPr>
          <w:rFonts w:hint="eastAsia"/>
          <w:lang w:val="en-US" w:eastAsia="zh-CN"/>
        </w:rPr>
      </w:pPr>
      <w:r>
        <w:rPr>
          <w:rFonts w:hint="eastAsia"/>
          <w:lang w:val="en-US" w:eastAsia="zh-CN"/>
        </w:rPr>
        <w:t>固化内容：服务目录的变更历史、评审记录、优化案例、《服务目录关联分析报告》、《服务目录改进跟踪表》等。</w:t>
      </w:r>
    </w:p>
    <w:p w14:paraId="12A0FD9E">
      <w:pPr>
        <w:pStyle w:val="29"/>
        <w:numPr>
          <w:ilvl w:val="0"/>
          <w:numId w:val="6"/>
        </w:numPr>
        <w:ind w:left="425" w:leftChars="0" w:hanging="425" w:firstLineChars="0"/>
        <w:rPr>
          <w:rFonts w:hint="eastAsia"/>
          <w:lang w:val="en-US" w:eastAsia="zh-CN"/>
        </w:rPr>
      </w:pPr>
      <w:r>
        <w:rPr>
          <w:rFonts w:hint="eastAsia"/>
          <w:lang w:val="en-US" w:eastAsia="zh-CN"/>
        </w:rPr>
        <w:t>固化方式：由运维部整理，质量管理部归档，通过公司知识库平台进行发布与共享。</w:t>
      </w:r>
    </w:p>
    <w:p w14:paraId="649D0F2C">
      <w:pPr>
        <w:pStyle w:val="29"/>
        <w:numPr>
          <w:ilvl w:val="0"/>
          <w:numId w:val="6"/>
        </w:numPr>
        <w:ind w:left="425" w:leftChars="0" w:hanging="425" w:firstLineChars="0"/>
        <w:rPr>
          <w:rFonts w:hint="eastAsia"/>
          <w:lang w:val="en-US" w:eastAsia="zh-CN"/>
        </w:rPr>
      </w:pPr>
      <w:r>
        <w:rPr>
          <w:rFonts w:hint="eastAsia"/>
          <w:lang w:val="en-US" w:eastAsia="zh-CN"/>
        </w:rPr>
        <w:t>应用要求：后续服务目录的规划与设计，应充分查阅已固化的知识，避免重复问题，传承有效经验。</w:t>
      </w:r>
    </w:p>
    <w:p w14:paraId="20C0401D">
      <w:pPr>
        <w:pStyle w:val="28"/>
        <w:bidi w:val="0"/>
        <w:rPr>
          <w:rFonts w:hint="eastAsia"/>
          <w:lang w:val="en-US" w:eastAsia="zh-CN"/>
        </w:rPr>
      </w:pPr>
      <w:bookmarkStart w:id="21" w:name="_Toc32594"/>
      <w:r>
        <w:rPr>
          <w:rFonts w:hint="eastAsia"/>
          <w:lang w:val="en-US" w:eastAsia="zh-CN"/>
        </w:rPr>
        <w:t>附则</w:t>
      </w:r>
      <w:bookmarkEnd w:id="21"/>
    </w:p>
    <w:p w14:paraId="7A3261F3">
      <w:pPr>
        <w:pStyle w:val="30"/>
        <w:bidi w:val="0"/>
        <w:rPr>
          <w:rFonts w:hint="eastAsia"/>
          <w:lang w:val="en-US" w:eastAsia="zh-CN"/>
        </w:rPr>
      </w:pPr>
      <w:bookmarkStart w:id="22" w:name="_Toc17623"/>
      <w:r>
        <w:rPr>
          <w:rFonts w:hint="eastAsia"/>
          <w:lang w:val="en-US" w:eastAsia="zh-CN"/>
        </w:rPr>
        <w:t>输出文件与记录</w:t>
      </w:r>
      <w:bookmarkEnd w:id="22"/>
    </w:p>
    <w:p w14:paraId="30059735">
      <w:pPr>
        <w:pStyle w:val="29"/>
        <w:numPr>
          <w:ilvl w:val="0"/>
          <w:numId w:val="7"/>
        </w:numPr>
        <w:ind w:left="425" w:leftChars="0" w:hanging="425" w:firstLineChars="0"/>
        <w:rPr>
          <w:rFonts w:hint="eastAsia"/>
          <w:lang w:val="en-US" w:eastAsia="zh-CN"/>
        </w:rPr>
      </w:pPr>
      <w:r>
        <w:rPr>
          <w:rFonts w:hint="eastAsia"/>
          <w:lang w:val="en-US" w:eastAsia="zh-CN"/>
        </w:rPr>
        <w:t>《组织级运维服务目录》（受控文件，由运维部拟制，质量管理部归档）</w:t>
      </w:r>
    </w:p>
    <w:p w14:paraId="45CE40AE">
      <w:pPr>
        <w:pStyle w:val="29"/>
        <w:numPr>
          <w:ilvl w:val="0"/>
          <w:numId w:val="7"/>
        </w:numPr>
        <w:ind w:left="425" w:leftChars="0" w:hanging="425" w:firstLineChars="0"/>
        <w:rPr>
          <w:rFonts w:hint="eastAsia"/>
          <w:lang w:val="en-US" w:eastAsia="zh-CN"/>
        </w:rPr>
      </w:pPr>
      <w:r>
        <w:rPr>
          <w:rFonts w:hint="eastAsia"/>
          <w:lang w:val="en-US" w:eastAsia="zh-CN"/>
        </w:rPr>
        <w:t>《项目级服务目录/服务级别协议(SLA)》</w:t>
      </w:r>
    </w:p>
    <w:p w14:paraId="3F5F8B16">
      <w:pPr>
        <w:pStyle w:val="29"/>
        <w:numPr>
          <w:ilvl w:val="0"/>
          <w:numId w:val="7"/>
        </w:numPr>
        <w:ind w:left="425" w:leftChars="0" w:hanging="425" w:firstLineChars="0"/>
        <w:rPr>
          <w:rFonts w:hint="eastAsia"/>
          <w:lang w:val="en-US" w:eastAsia="zh-CN"/>
        </w:rPr>
      </w:pPr>
      <w:r>
        <w:rPr>
          <w:rFonts w:hint="eastAsia"/>
          <w:lang w:val="en-US" w:eastAsia="zh-CN"/>
        </w:rPr>
        <w:t>《服务目录评审报告》</w:t>
      </w:r>
    </w:p>
    <w:p w14:paraId="35CD83F7">
      <w:pPr>
        <w:pStyle w:val="29"/>
        <w:numPr>
          <w:ilvl w:val="0"/>
          <w:numId w:val="7"/>
        </w:numPr>
        <w:ind w:left="425" w:leftChars="0" w:hanging="425" w:firstLineChars="0"/>
        <w:rPr>
          <w:rFonts w:hint="eastAsia"/>
          <w:lang w:val="en-US" w:eastAsia="zh-CN"/>
        </w:rPr>
      </w:pPr>
      <w:r>
        <w:rPr>
          <w:rFonts w:hint="eastAsia"/>
          <w:lang w:val="en-US" w:eastAsia="zh-CN"/>
        </w:rPr>
        <w:t>《服务目录发布记录》</w:t>
      </w:r>
    </w:p>
    <w:p w14:paraId="707FC475">
      <w:pPr>
        <w:pStyle w:val="29"/>
        <w:numPr>
          <w:ilvl w:val="0"/>
          <w:numId w:val="7"/>
        </w:numPr>
        <w:ind w:left="425" w:leftChars="0" w:hanging="425" w:firstLineChars="0"/>
        <w:rPr>
          <w:rFonts w:hint="eastAsia"/>
          <w:lang w:val="en-US" w:eastAsia="zh-CN"/>
        </w:rPr>
      </w:pPr>
      <w:r>
        <w:rPr>
          <w:rFonts w:hint="eastAsia"/>
          <w:lang w:val="en-US" w:eastAsia="zh-CN"/>
        </w:rPr>
        <w:t>《服务目录关联分析报告》</w:t>
      </w:r>
    </w:p>
    <w:p w14:paraId="554E3AE5">
      <w:pPr>
        <w:pStyle w:val="29"/>
        <w:numPr>
          <w:ilvl w:val="0"/>
          <w:numId w:val="7"/>
        </w:numPr>
        <w:ind w:left="425" w:leftChars="0" w:hanging="425" w:firstLineChars="0"/>
        <w:rPr>
          <w:rFonts w:hint="eastAsia"/>
          <w:lang w:val="en-US" w:eastAsia="zh-CN"/>
        </w:rPr>
      </w:pPr>
      <w:r>
        <w:rPr>
          <w:rFonts w:hint="eastAsia"/>
          <w:lang w:val="en-US" w:eastAsia="zh-CN"/>
        </w:rPr>
        <w:t>《服务目录改进跟踪表》</w:t>
      </w:r>
    </w:p>
    <w:sectPr>
      <w:headerReference r:id="rId5" w:type="default"/>
      <w:pgSz w:w="11906" w:h="16838"/>
      <w:pgMar w:top="1417" w:right="1800" w:bottom="1440" w:left="1800" w:header="1140"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egoe UI">
    <w:panose1 w:val="020B0502040204020203"/>
    <w:charset w:val="00"/>
    <w:family w:val="auto"/>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728188">
    <w:pPr>
      <w:pStyle w:val="15"/>
      <w:pBdr>
        <w:bottom w:val="single" w:color="auto" w:sz="4" w:space="1"/>
      </w:pBdr>
      <w:tabs>
        <w:tab w:val="left" w:pos="335"/>
        <w:tab w:val="right" w:pos="8426"/>
      </w:tabs>
      <w:jc w:val="right"/>
      <w:rPr>
        <w:rFonts w:hint="eastAsia" w:eastAsiaTheme="minorEastAsia"/>
        <w:lang w:eastAsia="zh-CN"/>
      </w:rPr>
    </w:pPr>
    <w:r>
      <w:rPr>
        <w:rFonts w:hint="eastAsia" w:eastAsiaTheme="minorEastAsia"/>
        <w:lang w:val="en-US" w:eastAsia="zh-CN"/>
      </w:rPr>
      <w:tab/>
    </w:r>
    <w:r>
      <w:rPr>
        <w:rFonts w:hint="eastAsia" w:eastAsiaTheme="minorEastAsia"/>
        <w:lang w:val="en-US" w:eastAsia="zh-CN"/>
      </w:rPr>
      <w:tab/>
    </w:r>
    <w:r>
      <w:rPr>
        <w:rFonts w:hint="eastAsia" w:eastAsiaTheme="minorEastAsia"/>
        <w:lang w:val="en-US" w:eastAsia="zh-CN"/>
      </w:rPr>
      <w:t>桐乡华数广电网络有限公司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1">
    <w:nsid w:val="EE47C1B9"/>
    <w:multiLevelType w:val="singleLevel"/>
    <w:tmpl w:val="EE47C1B9"/>
    <w:lvl w:ilvl="0" w:tentative="0">
      <w:start w:val="1"/>
      <w:numFmt w:val="decimal"/>
      <w:lvlText w:val="%1."/>
      <w:lvlJc w:val="left"/>
      <w:pPr>
        <w:ind w:left="425" w:hanging="425"/>
      </w:pPr>
      <w:rPr>
        <w:rFonts w:hint="default"/>
      </w:rPr>
    </w:lvl>
  </w:abstractNum>
  <w:abstractNum w:abstractNumId="2">
    <w:nsid w:val="038ABF83"/>
    <w:multiLevelType w:val="singleLevel"/>
    <w:tmpl w:val="038ABF83"/>
    <w:lvl w:ilvl="0" w:tentative="0">
      <w:start w:val="1"/>
      <w:numFmt w:val="decimal"/>
      <w:lvlText w:val="%1."/>
      <w:lvlJc w:val="left"/>
      <w:pPr>
        <w:ind w:left="425" w:hanging="425"/>
      </w:pPr>
      <w:rPr>
        <w:rFonts w:hint="default"/>
      </w:rPr>
    </w:lvl>
  </w:abstractNum>
  <w:abstractNum w:abstractNumId="3">
    <w:nsid w:val="2AE29A22"/>
    <w:multiLevelType w:val="singleLevel"/>
    <w:tmpl w:val="2AE29A22"/>
    <w:lvl w:ilvl="0" w:tentative="0">
      <w:start w:val="1"/>
      <w:numFmt w:val="decimal"/>
      <w:lvlText w:val="%1."/>
      <w:lvlJc w:val="left"/>
      <w:pPr>
        <w:ind w:left="425" w:hanging="425"/>
      </w:pPr>
      <w:rPr>
        <w:rFonts w:hint="default"/>
      </w:rPr>
    </w:lvl>
  </w:abstractNum>
  <w:abstractNum w:abstractNumId="4">
    <w:nsid w:val="5CE0A27E"/>
    <w:multiLevelType w:val="singleLevel"/>
    <w:tmpl w:val="5CE0A27E"/>
    <w:lvl w:ilvl="0" w:tentative="0">
      <w:start w:val="1"/>
      <w:numFmt w:val="decimal"/>
      <w:lvlText w:val="%1."/>
      <w:lvlJc w:val="left"/>
      <w:pPr>
        <w:ind w:left="425" w:hanging="425"/>
      </w:pPr>
      <w:rPr>
        <w:rFonts w:hint="default"/>
      </w:rPr>
    </w:lvl>
  </w:abstractNum>
  <w:abstractNum w:abstractNumId="5">
    <w:nsid w:val="616B0920"/>
    <w:multiLevelType w:val="singleLevel"/>
    <w:tmpl w:val="616B0920"/>
    <w:lvl w:ilvl="0" w:tentative="0">
      <w:start w:val="1"/>
      <w:numFmt w:val="decimal"/>
      <w:lvlText w:val="%1."/>
      <w:lvlJc w:val="left"/>
      <w:pPr>
        <w:ind w:left="425" w:hanging="425"/>
      </w:pPr>
      <w:rPr>
        <w:rFonts w:hint="default"/>
      </w:rPr>
    </w:lvl>
  </w:abstractNum>
  <w:abstractNum w:abstractNumId="6">
    <w:nsid w:val="63D8CA7F"/>
    <w:multiLevelType w:val="singleLevel"/>
    <w:tmpl w:val="63D8CA7F"/>
    <w:lvl w:ilvl="0" w:tentative="0">
      <w:start w:val="1"/>
      <w:numFmt w:val="decimal"/>
      <w:lvlText w:val="%1."/>
      <w:lvlJc w:val="left"/>
      <w:pPr>
        <w:ind w:left="425" w:hanging="425"/>
      </w:pPr>
      <w:rPr>
        <w:rFonts w:hint="default"/>
      </w:rPr>
    </w:lvl>
  </w:abstractNum>
  <w:num w:numId="1">
    <w:abstractNumId w:val="0"/>
  </w:num>
  <w:num w:numId="2">
    <w:abstractNumId w:val="3"/>
  </w:num>
  <w:num w:numId="3">
    <w:abstractNumId w:val="2"/>
  </w:num>
  <w:num w:numId="4">
    <w:abstractNumId w:val="6"/>
  </w:num>
  <w:num w:numId="5">
    <w:abstractNumId w:val="4"/>
  </w:num>
  <w:num w:numId="6">
    <w:abstractNumId w:val="1"/>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NotTrackMoves/>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17011D34"/>
    <w:rsid w:val="1C9F7353"/>
    <w:rsid w:val="202D5948"/>
    <w:rsid w:val="338C409E"/>
    <w:rsid w:val="34CB1F9B"/>
    <w:rsid w:val="3DEB4A20"/>
    <w:rsid w:val="3F101937"/>
    <w:rsid w:val="47F753A6"/>
    <w:rsid w:val="4ED4390E"/>
    <w:rsid w:val="57A220BA"/>
    <w:rsid w:val="62476748"/>
    <w:rsid w:val="71F118FE"/>
    <w:rsid w:val="724834E8"/>
    <w:rsid w:val="77F17412"/>
    <w:rsid w:val="7986326E"/>
    <w:rsid w:val="7E9B25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paragraph" w:customStyle="1" w:styleId="24">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25">
    <w:name w:val="柴_文档名"/>
    <w:basedOn w:val="19"/>
    <w:qFormat/>
    <w:uiPriority w:val="0"/>
    <w:pPr>
      <w:spacing w:after="900" w:afterLines="900"/>
    </w:pPr>
    <w:rPr>
      <w:rFonts w:ascii="黑体" w:hAnsi="黑体" w:eastAsia="黑体" w:cs="黑体"/>
      <w:bCs/>
      <w:spacing w:val="-7"/>
      <w:sz w:val="52"/>
      <w:szCs w:val="52"/>
    </w:rPr>
  </w:style>
  <w:style w:type="table" w:customStyle="1" w:styleId="26">
    <w:name w:val="Table Normal_0"/>
    <w:semiHidden/>
    <w:unhideWhenUsed/>
    <w:qFormat/>
    <w:uiPriority w:val="0"/>
    <w:tblPr>
      <w:tblCellMar>
        <w:top w:w="0" w:type="dxa"/>
        <w:left w:w="0" w:type="dxa"/>
        <w:bottom w:w="0" w:type="dxa"/>
        <w:right w:w="0" w:type="dxa"/>
      </w:tblCellMar>
    </w:tblPr>
  </w:style>
  <w:style w:type="paragraph" w:customStyle="1" w:styleId="27">
    <w:name w:val="Table Text"/>
    <w:basedOn w:val="1"/>
    <w:semiHidden/>
    <w:qFormat/>
    <w:uiPriority w:val="0"/>
    <w:rPr>
      <w:rFonts w:ascii="宋体" w:hAnsi="宋体" w:eastAsia="宋体" w:cs="宋体"/>
      <w:sz w:val="21"/>
      <w:szCs w:val="21"/>
      <w:lang w:val="en-US" w:eastAsia="en-US" w:bidi="ar-SA"/>
    </w:rPr>
  </w:style>
  <w:style w:type="paragraph" w:customStyle="1" w:styleId="28">
    <w:name w:val="柴_标题1"/>
    <w:basedOn w:val="2"/>
    <w:next w:val="29"/>
    <w:link w:val="38"/>
    <w:qFormat/>
    <w:uiPriority w:val="0"/>
    <w:pPr>
      <w:spacing w:before="100" w:after="90" w:line="360" w:lineRule="auto"/>
    </w:pPr>
    <w:rPr>
      <w:rFonts w:ascii="Arial" w:hAnsi="Arial" w:eastAsia="宋体"/>
      <w:sz w:val="32"/>
    </w:rPr>
  </w:style>
  <w:style w:type="paragraph" w:customStyle="1" w:styleId="29">
    <w:name w:val="柴_正文"/>
    <w:basedOn w:val="12"/>
    <w:link w:val="42"/>
    <w:qFormat/>
    <w:uiPriority w:val="0"/>
    <w:pPr>
      <w:spacing w:line="360" w:lineRule="auto"/>
      <w:ind w:firstLine="470" w:firstLineChars="200"/>
    </w:pPr>
    <w:rPr>
      <w:rFonts w:ascii="Arial" w:hAnsi="Arial" w:eastAsia="宋体"/>
      <w:sz w:val="24"/>
      <w:lang w:eastAsia="zh-CN"/>
    </w:rPr>
  </w:style>
  <w:style w:type="paragraph" w:customStyle="1" w:styleId="30">
    <w:name w:val="柴_标题2"/>
    <w:basedOn w:val="3"/>
    <w:next w:val="29"/>
    <w:qFormat/>
    <w:uiPriority w:val="0"/>
    <w:pPr>
      <w:spacing w:line="360" w:lineRule="auto"/>
    </w:pPr>
    <w:rPr>
      <w:rFonts w:ascii="Arial" w:hAnsi="Arial" w:eastAsia="宋体"/>
      <w:sz w:val="28"/>
    </w:rPr>
  </w:style>
  <w:style w:type="paragraph" w:customStyle="1" w:styleId="31">
    <w:name w:val="柴_标题3"/>
    <w:basedOn w:val="4"/>
    <w:next w:val="29"/>
    <w:link w:val="43"/>
    <w:qFormat/>
    <w:uiPriority w:val="0"/>
    <w:pPr>
      <w:spacing w:line="360" w:lineRule="auto"/>
      <w:ind w:left="0" w:firstLine="472" w:firstLineChars="200"/>
    </w:pPr>
    <w:rPr>
      <w:rFonts w:ascii="宋体" w:hAnsi="宋体" w:eastAsia="宋体" w:cs="宋体"/>
      <w:spacing w:val="-2"/>
      <w:sz w:val="24"/>
      <w:szCs w:val="24"/>
    </w:rPr>
  </w:style>
  <w:style w:type="paragraph" w:customStyle="1" w:styleId="32">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3">
    <w:name w:val="WPSOffice手动目录 1"/>
    <w:qFormat/>
    <w:uiPriority w:val="0"/>
    <w:pPr>
      <w:ind w:leftChars="0"/>
    </w:pPr>
    <w:rPr>
      <w:rFonts w:ascii="Times New Roman" w:hAnsi="Times New Roman" w:eastAsia="宋体" w:cs="Times New Roman"/>
      <w:sz w:val="20"/>
      <w:szCs w:val="20"/>
    </w:rPr>
  </w:style>
  <w:style w:type="paragraph" w:customStyle="1" w:styleId="34">
    <w:name w:val="WPSOffice手动目录 2"/>
    <w:qFormat/>
    <w:uiPriority w:val="0"/>
    <w:pPr>
      <w:ind w:leftChars="200"/>
    </w:pPr>
    <w:rPr>
      <w:rFonts w:ascii="Times New Roman" w:hAnsi="Times New Roman" w:eastAsia="宋体" w:cs="Times New Roman"/>
      <w:sz w:val="20"/>
      <w:szCs w:val="20"/>
    </w:rPr>
  </w:style>
  <w:style w:type="paragraph" w:customStyle="1" w:styleId="35">
    <w:name w:val="WPSOffice手动目录 3"/>
    <w:qFormat/>
    <w:uiPriority w:val="0"/>
    <w:pPr>
      <w:ind w:leftChars="400"/>
    </w:pPr>
    <w:rPr>
      <w:rFonts w:ascii="Times New Roman" w:hAnsi="Times New Roman" w:eastAsia="宋体" w:cs="Times New Roman"/>
      <w:sz w:val="20"/>
      <w:szCs w:val="20"/>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8"/>
    <w:qFormat/>
    <w:uiPriority w:val="0"/>
    <w:rPr>
      <w:rFonts w:ascii="Arial" w:hAnsi="Arial" w:eastAsia="宋体"/>
      <w:sz w:val="32"/>
    </w:rPr>
  </w:style>
  <w:style w:type="table" w:customStyle="1" w:styleId="39">
    <w:name w:val="Table Normal_1"/>
    <w:semiHidden/>
    <w:unhideWhenUsed/>
    <w:qFormat/>
    <w:uiPriority w:val="0"/>
    <w:tblPr>
      <w:tblCellMar>
        <w:top w:w="0" w:type="dxa"/>
        <w:left w:w="0" w:type="dxa"/>
        <w:bottom w:w="0" w:type="dxa"/>
        <w:right w:w="0" w:type="dxa"/>
      </w:tblCellMar>
    </w:tblPr>
  </w:style>
  <w:style w:type="paragraph" w:customStyle="1" w:styleId="40">
    <w:name w:val="柴_正文_无缩进"/>
    <w:basedOn w:val="1"/>
    <w:qFormat/>
    <w:uiPriority w:val="0"/>
    <w:pPr>
      <w:ind w:firstLine="0" w:firstLineChars="0"/>
    </w:pPr>
    <w:rPr>
      <w:rFonts w:ascii="Arial" w:hAnsi="Arial"/>
      <w:sz w:val="24"/>
      <w:lang w:eastAsia="zh-CN"/>
    </w:rPr>
  </w:style>
  <w:style w:type="paragraph" w:customStyle="1" w:styleId="41">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2">
    <w:name w:val="柴_正文 Char"/>
    <w:link w:val="29"/>
    <w:qFormat/>
    <w:uiPriority w:val="0"/>
    <w:rPr>
      <w:rFonts w:ascii="Arial" w:hAnsi="Arial" w:eastAsia="宋体"/>
      <w:sz w:val="24"/>
      <w:lang w:eastAsia="zh-CN"/>
    </w:rPr>
  </w:style>
  <w:style w:type="character" w:customStyle="1" w:styleId="43">
    <w:name w:val="柴_标题3 Char"/>
    <w:link w:val="31"/>
    <w:qFormat/>
    <w:uiPriority w:val="0"/>
    <w:rPr>
      <w:rFonts w:ascii="宋体" w:hAnsi="宋体" w:eastAsia="宋体" w:cs="宋体"/>
      <w:spacing w:val="-2"/>
      <w:sz w:val="24"/>
      <w:szCs w:val="24"/>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3377</Words>
  <Characters>3525</Characters>
  <Lines>0</Lines>
  <Paragraphs>0</Paragraphs>
  <TotalTime>17</TotalTime>
  <ScaleCrop>false</ScaleCrop>
  <LinksUpToDate>false</LinksUpToDate>
  <CharactersWithSpaces>3619</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2025-09-03T14:43:00Z</dcterms:created>
  <dc:creator>郝宇</dc:creator>
  <cp:lastModifiedBy>郝宇</cp:lastModifiedBy>
  <dcterms:modified xsi:type="dcterms:W3CDTF">2026-04-24T14:20:52Z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F72BE04C611A47189A0BFEBA2DA65B6E_13</vt:lpwstr>
  </property>
  <property fmtid="{D5CDD505-2E9C-101B-9397-08002B2CF9AE}" pid="3" name="KSOProductBuildVer">
    <vt:lpwstr>2052-12.1.0.25865</vt:lpwstr>
  </property>
  <property fmtid="{D5CDD505-2E9C-101B-9397-08002B2CF9AE}" pid="4" name="KSOTemplateDocerSaveRecord">
    <vt:lpwstr>eyJoZGlkIjoiZWI4NmUzMGY2ODA3MDc4ZTFlMjZjZTAyMjM0NmVmODgiLCJ1c2VySWQiOiIxMDc1MzgyOSJ9</vt:lpwstr>
  </property>
</Properties>
</file>