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2876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07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D47202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46"/>
      <w:r>
        <w:rPr>
          <w:rFonts w:hint="eastAsia"/>
          <w:lang w:val="en-US" w:eastAsia="zh-CN"/>
        </w:rPr>
        <w:t>运维服务能力管理制度</w:t>
      </w:r>
      <w:bookmarkEnd w:id="1"/>
    </w:p>
    <w:p w14:paraId="14D359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36EA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D123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53F09E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1DC8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6E12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5C056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2" w:name="_GoBack"/>
            <w:bookmarkEnd w:id="2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E996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4FC24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8EF5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59D68C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8CD3BE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CE9E0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3400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A7959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1B382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3D002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A39D6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88696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F4356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7C755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2022.06.20</w:t>
            </w:r>
          </w:p>
        </w:tc>
        <w:tc>
          <w:tcPr>
            <w:tcW w:w="972" w:type="dxa"/>
          </w:tcPr>
          <w:p w14:paraId="442D36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E5E56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081D8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1623B1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20F1A8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385FF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A9D4D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1A248A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645A2D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修改能力策划</w:t>
            </w:r>
          </w:p>
        </w:tc>
        <w:tc>
          <w:tcPr>
            <w:tcW w:w="1829" w:type="dxa"/>
            <w:shd w:val="clear" w:color="auto" w:fill="auto"/>
          </w:tcPr>
          <w:p w14:paraId="5E936C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7595A1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69A0D7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4F5C0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E30BE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46F3C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E280F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0F031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D51B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04123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37C35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CC55F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8D6C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1B633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E0974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0EC9B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D731E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A64DD2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CD5EE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7BB45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_Toc9071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43E2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_Toc29046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0974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FC2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_Toc15472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FB1D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4719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_Toc2053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F4F3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_Toc26032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F2A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_Toc25083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B737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运维部</w:t>
          </w:r>
          <w:r>
            <w:tab/>
          </w:r>
          <w:r>
            <w:fldChar w:fldCharType="begin"/>
          </w:r>
          <w:r>
            <w:instrText xml:space="preserve"> PAGEREF _Toc25192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5A54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研发部</w:t>
          </w:r>
          <w:r>
            <w:tab/>
          </w:r>
          <w:r>
            <w:fldChar w:fldCharType="begin"/>
          </w:r>
          <w:r>
            <w:instrText xml:space="preserve"> PAGEREF _Toc8617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CA3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人力资源部</w:t>
          </w:r>
          <w:r>
            <w:tab/>
          </w:r>
          <w:r>
            <w:fldChar w:fldCharType="begin"/>
          </w:r>
          <w:r>
            <w:instrText xml:space="preserve"> PAGEREF _Toc253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1974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_Toc12201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548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_Toc4573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A098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_Toc25603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11E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能力管理流程</w:t>
          </w:r>
          <w:r>
            <w:tab/>
          </w:r>
          <w:r>
            <w:fldChar w:fldCharType="begin"/>
          </w:r>
          <w:r>
            <w:instrText xml:space="preserve"> PAGEREF _Toc30973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DA7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能力策划</w:t>
          </w:r>
          <w:r>
            <w:tab/>
          </w:r>
          <w:r>
            <w:fldChar w:fldCharType="begin"/>
          </w:r>
          <w:r>
            <w:instrText xml:space="preserve"> PAGEREF _Toc30397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9066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计划审批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454B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计划执行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703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过程监督</w:t>
          </w:r>
          <w:r>
            <w:tab/>
          </w:r>
          <w:r>
            <w:fldChar w:fldCharType="begin"/>
          </w:r>
          <w:r>
            <w:instrText xml:space="preserve"> PAGEREF _Toc4992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E5DE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年度总结</w:t>
          </w:r>
          <w:r>
            <w:tab/>
          </w:r>
          <w:r>
            <w:fldChar w:fldCharType="begin"/>
          </w:r>
          <w:r>
            <w:instrText xml:space="preserve"> PAGEREF _Toc3613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1C71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改进与优化</w:t>
          </w:r>
          <w:r>
            <w:tab/>
          </w:r>
          <w:r>
            <w:fldChar w:fldCharType="begin"/>
          </w:r>
          <w:r>
            <w:instrText xml:space="preserve"> PAGEREF _Toc12045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0721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附则</w:t>
          </w:r>
          <w:r>
            <w:tab/>
          </w:r>
          <w:r>
            <w:fldChar w:fldCharType="begin"/>
          </w:r>
          <w:r>
            <w:instrText xml:space="preserve"> PAGEREF _Toc29524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300C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A14B15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ABA1A6D">
      <w:pPr>
        <w:pStyle w:val="28"/>
        <w:bidi w:val="0"/>
        <w:rPr>
          <w:rFonts w:hint="default"/>
          <w:lang w:val="en-US" w:eastAsia="zh-CN"/>
        </w:rPr>
      </w:pPr>
      <w:bookmarkStart w:id="2" w:name="_Toc8808"/>
      <w:r>
        <w:rPr>
          <w:rFonts w:hint="default"/>
          <w:lang w:val="en-US" w:eastAsia="zh-CN"/>
        </w:rPr>
        <w:t>总则</w:t>
      </w:r>
      <w:bookmarkEnd w:id="2"/>
    </w:p>
    <w:p w14:paraId="7453016C">
      <w:pPr>
        <w:pStyle w:val="30"/>
        <w:bidi w:val="0"/>
        <w:rPr>
          <w:rFonts w:hint="default"/>
          <w:lang w:val="en-US" w:eastAsia="zh-CN"/>
        </w:rPr>
      </w:pPr>
      <w:bookmarkStart w:id="3" w:name="_Toc15472"/>
      <w:r>
        <w:rPr>
          <w:rFonts w:hint="default"/>
          <w:lang w:val="en-US" w:eastAsia="zh-CN"/>
        </w:rPr>
        <w:t>目的</w:t>
      </w:r>
      <w:bookmarkEnd w:id="3"/>
    </w:p>
    <w:p w14:paraId="05B011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建设、监督和改进桐乡华数广电网络有限公司（以下简称“公司”）的软件运维服务能力，确保公司拥有持续、稳定、高质量的服务交付实力，满足当前及未来业务发展、市场竞争与客户需求，特制定本制度。</w:t>
      </w:r>
    </w:p>
    <w:p w14:paraId="3141D8D6">
      <w:pPr>
        <w:pStyle w:val="30"/>
        <w:bidi w:val="0"/>
        <w:rPr>
          <w:rFonts w:hint="default"/>
          <w:lang w:val="en-US" w:eastAsia="zh-CN"/>
        </w:rPr>
      </w:pPr>
      <w:bookmarkStart w:id="4" w:name="_Toc11763"/>
      <w:r>
        <w:rPr>
          <w:rFonts w:hint="default"/>
          <w:lang w:val="en-US" w:eastAsia="zh-CN"/>
        </w:rPr>
        <w:t>适用范围</w:t>
      </w:r>
      <w:bookmarkEnd w:id="4"/>
    </w:p>
    <w:p w14:paraId="26423E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本制度适用于公司运维服务能力管理体系的建立、运行和改进活动，覆盖所有与运维服务能力相关的部门，包括但不限于：运维部、研发部、</w:t>
      </w:r>
      <w:r>
        <w:rPr>
          <w:rFonts w:hint="eastAsia"/>
          <w:lang w:val="en-US" w:eastAsia="zh-CN"/>
        </w:rPr>
        <w:t>采购部、</w:t>
      </w:r>
      <w:r>
        <w:rPr>
          <w:rFonts w:hint="default"/>
          <w:lang w:val="en-US" w:eastAsia="zh-CN"/>
        </w:rPr>
        <w:t>质量管理部、人力资源部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应急管理部。</w:t>
      </w:r>
    </w:p>
    <w:p w14:paraId="41922A16">
      <w:pPr>
        <w:pStyle w:val="30"/>
        <w:bidi w:val="0"/>
        <w:rPr>
          <w:rFonts w:hint="default"/>
          <w:lang w:val="en-US" w:eastAsia="zh-CN"/>
        </w:rPr>
      </w:pPr>
      <w:bookmarkStart w:id="5" w:name="_Toc2053"/>
      <w:r>
        <w:rPr>
          <w:rFonts w:hint="default"/>
          <w:lang w:val="en-US" w:eastAsia="zh-CN"/>
        </w:rPr>
        <w:t>管理目标</w:t>
      </w:r>
      <w:bookmarkEnd w:id="5"/>
    </w:p>
    <w:p w14:paraId="4CD4DF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确保公司的运维服务能力（包括人员、技术、资源、过程</w:t>
      </w:r>
      <w:r>
        <w:rPr>
          <w:rFonts w:hint="eastAsia"/>
          <w:lang w:val="en-US" w:eastAsia="zh-CN"/>
        </w:rPr>
        <w:t>、交付和应急</w:t>
      </w:r>
      <w:r>
        <w:rPr>
          <w:rFonts w:hint="default"/>
          <w:lang w:val="en-US" w:eastAsia="zh-CN"/>
        </w:rPr>
        <w:t>）得到有效管理和持续提升，为需方提供符合甚至超越约定的高质量运维服务，支撑公司战略目标的实现。</w:t>
      </w:r>
    </w:p>
    <w:p w14:paraId="3B94C2F3">
      <w:pPr>
        <w:pStyle w:val="28"/>
        <w:bidi w:val="0"/>
        <w:rPr>
          <w:rFonts w:hint="default"/>
          <w:lang w:val="en-US" w:eastAsia="zh-CN"/>
        </w:rPr>
      </w:pPr>
      <w:bookmarkStart w:id="6" w:name="_Toc26032"/>
      <w:r>
        <w:rPr>
          <w:rFonts w:hint="default"/>
          <w:lang w:val="en-US" w:eastAsia="zh-CN"/>
        </w:rPr>
        <w:t>组织与职责</w:t>
      </w:r>
      <w:bookmarkEnd w:id="6"/>
    </w:p>
    <w:p w14:paraId="71022531">
      <w:pPr>
        <w:pStyle w:val="30"/>
        <w:bidi w:val="0"/>
        <w:rPr>
          <w:rFonts w:hint="default"/>
          <w:lang w:val="en-US" w:eastAsia="zh-CN"/>
        </w:rPr>
      </w:pPr>
      <w:bookmarkStart w:id="7" w:name="_Toc25083"/>
      <w:r>
        <w:rPr>
          <w:rFonts w:hint="default"/>
          <w:lang w:val="en-US" w:eastAsia="zh-CN"/>
        </w:rPr>
        <w:t>质量管理部</w:t>
      </w:r>
      <w:bookmarkEnd w:id="7"/>
    </w:p>
    <w:p w14:paraId="753F56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作为运维服务能力管理的归口与监督部门。</w:t>
      </w:r>
    </w:p>
    <w:p w14:paraId="78C14B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牵头组织年度能力策划、协调跨部门资源。</w:t>
      </w:r>
    </w:p>
    <w:p w14:paraId="6CA400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监督能力管理计划的执行情况，跟踪问题改进。</w:t>
      </w:r>
    </w:p>
    <w:p w14:paraId="2285E8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组织年度能力总结，负责相关记录的归档与管理。</w:t>
      </w:r>
    </w:p>
    <w:p w14:paraId="193EC1F6">
      <w:pPr>
        <w:pStyle w:val="30"/>
        <w:bidi w:val="0"/>
        <w:rPr>
          <w:rFonts w:hint="default"/>
          <w:lang w:val="en-US" w:eastAsia="zh-CN"/>
        </w:rPr>
      </w:pPr>
      <w:bookmarkStart w:id="8" w:name="_Toc25192"/>
      <w:r>
        <w:rPr>
          <w:rFonts w:hint="default"/>
          <w:lang w:val="en-US" w:eastAsia="zh-CN"/>
        </w:rPr>
        <w:t>运维部</w:t>
      </w:r>
      <w:bookmarkEnd w:id="8"/>
    </w:p>
    <w:p w14:paraId="1CBBC7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作为运维服务交付的主体，负责提出一线服务能力需求。</w:t>
      </w:r>
    </w:p>
    <w:p w14:paraId="1298A3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参与能力策划，负责制定与执行运维过程、工具、团队技能等方面的能力建设计划。</w:t>
      </w:r>
    </w:p>
    <w:p w14:paraId="5A6149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执行并反馈能力建设措施的效果。</w:t>
      </w:r>
    </w:p>
    <w:p w14:paraId="0407815E">
      <w:pPr>
        <w:pStyle w:val="30"/>
        <w:bidi w:val="0"/>
        <w:rPr>
          <w:rFonts w:hint="default"/>
          <w:lang w:val="en-US" w:eastAsia="zh-CN"/>
        </w:rPr>
      </w:pPr>
      <w:bookmarkStart w:id="9" w:name="_Toc8617"/>
      <w:r>
        <w:rPr>
          <w:rFonts w:hint="default"/>
          <w:lang w:val="en-US" w:eastAsia="zh-CN"/>
        </w:rPr>
        <w:t>研发部</w:t>
      </w:r>
      <w:bookmarkEnd w:id="9"/>
    </w:p>
    <w:p w14:paraId="15FAB8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负责技术能力的规划与研发。</w:t>
      </w:r>
    </w:p>
    <w:p w14:paraId="006B46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参与能力策划，制定并执行技术研发、平台工具升级、新技术引入等计划。</w:t>
      </w:r>
    </w:p>
    <w:p w14:paraId="718AF6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为公司运维服务提供前瞻性技术储备与解决方案支持。</w:t>
      </w:r>
    </w:p>
    <w:p w14:paraId="22BC57D8">
      <w:pPr>
        <w:pStyle w:val="30"/>
        <w:bidi w:val="0"/>
        <w:rPr>
          <w:rFonts w:hint="default"/>
          <w:lang w:val="en-US" w:eastAsia="zh-CN"/>
        </w:rPr>
      </w:pPr>
      <w:bookmarkStart w:id="10" w:name="_Toc253"/>
      <w:r>
        <w:rPr>
          <w:rFonts w:hint="default"/>
          <w:lang w:val="en-US" w:eastAsia="zh-CN"/>
        </w:rPr>
        <w:t>人力资源部</w:t>
      </w:r>
      <w:bookmarkEnd w:id="10"/>
    </w:p>
    <w:p w14:paraId="0ABE12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负责人力资源能力的规划与建设。</w:t>
      </w:r>
    </w:p>
    <w:p w14:paraId="4F2235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参与能力策划，根据业务需求制定并执行人员招聘、培训、技能认证、绩效评估及团队建设计划。</w:t>
      </w:r>
    </w:p>
    <w:p w14:paraId="34A83A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确保人员能力与岗位要求相匹配。</w:t>
      </w:r>
    </w:p>
    <w:p w14:paraId="5F84E73A">
      <w:pPr>
        <w:pStyle w:val="30"/>
        <w:bidi w:val="0"/>
        <w:rPr>
          <w:rFonts w:hint="default"/>
          <w:lang w:val="en-US" w:eastAsia="zh-CN"/>
        </w:rPr>
      </w:pPr>
      <w:bookmarkStart w:id="11" w:name="_Toc12201"/>
      <w:r>
        <w:rPr>
          <w:rFonts w:hint="default"/>
          <w:lang w:val="en-US" w:eastAsia="zh-CN"/>
        </w:rPr>
        <w:t>应急管理部</w:t>
      </w:r>
      <w:bookmarkEnd w:id="11"/>
    </w:p>
    <w:p w14:paraId="6E4C97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负责应急响应与业务连续性能力的规划与建设。</w:t>
      </w:r>
    </w:p>
    <w:p w14:paraId="0B91C5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参与能力策划，制定并完善应急预案、演练计划及恢复能力提升方案。</w:t>
      </w:r>
    </w:p>
    <w:p w14:paraId="65FCA248">
      <w:pPr>
        <w:pStyle w:val="30"/>
        <w:bidi w:val="0"/>
        <w:rPr>
          <w:rFonts w:hint="default"/>
          <w:lang w:val="en-US" w:eastAsia="zh-CN"/>
        </w:rPr>
      </w:pPr>
      <w:bookmarkStart w:id="12" w:name="_Toc4573"/>
      <w:r>
        <w:rPr>
          <w:rFonts w:hint="eastAsia"/>
          <w:lang w:val="en-US" w:eastAsia="zh-CN"/>
        </w:rPr>
        <w:t>管理者代表</w:t>
      </w:r>
      <w:bookmarkEnd w:id="12"/>
    </w:p>
    <w:p w14:paraId="3EEC77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负责审批公司年度运维服务能力管理计划及相关规划。</w:t>
      </w:r>
    </w:p>
    <w:p w14:paraId="3C5AC4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提供战略指导与资源支持，听取能力管理监督汇报。</w:t>
      </w:r>
    </w:p>
    <w:p w14:paraId="2EAB60C2">
      <w:pPr>
        <w:pStyle w:val="30"/>
        <w:bidi w:val="0"/>
        <w:rPr>
          <w:rFonts w:hint="eastAsia"/>
          <w:lang w:val="en-US" w:eastAsia="zh-CN"/>
        </w:rPr>
      </w:pPr>
      <w:bookmarkStart w:id="13" w:name="_Toc25603"/>
      <w:r>
        <w:rPr>
          <w:rFonts w:hint="eastAsia"/>
          <w:lang w:val="en-US" w:eastAsia="zh-CN"/>
        </w:rPr>
        <w:t>采购部</w:t>
      </w:r>
      <w:bookmarkEnd w:id="13"/>
    </w:p>
    <w:p w14:paraId="7E8DBB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资源获取保障：作为运维服务能力建设的资源支撑部门，负责根据年度能力策划要求，实施运维工具、备件及第三方维保服务的采购工作。</w:t>
      </w:r>
    </w:p>
    <w:p w14:paraId="72C53E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供应商管理：负责建立和维护合格供应商名录，定期对提供运维支撑的供应商（如硬件厂商、集成商等）进行服务质量评估与考核，确保外部资源持续满足公司运维能力要求。</w:t>
      </w:r>
    </w:p>
    <w:p w14:paraId="790A51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合同与交付管理：负责采购合同的签订与履行监控，确保供应商交付的资源（备件、软件授权等）符合合同约定的质量标准及服务级别协议（SLA）。</w:t>
      </w:r>
    </w:p>
    <w:p w14:paraId="7BA3F931">
      <w:pPr>
        <w:pStyle w:val="28"/>
        <w:bidi w:val="0"/>
        <w:rPr>
          <w:rFonts w:hint="default"/>
          <w:lang w:val="en-US" w:eastAsia="zh-CN"/>
        </w:rPr>
      </w:pPr>
      <w:bookmarkStart w:id="14" w:name="_Toc30973"/>
      <w:r>
        <w:rPr>
          <w:rFonts w:hint="default"/>
          <w:lang w:val="en-US" w:eastAsia="zh-CN"/>
        </w:rPr>
        <w:t>能力管理流程</w:t>
      </w:r>
      <w:bookmarkEnd w:id="14"/>
    </w:p>
    <w:p w14:paraId="2C54C7F1">
      <w:pPr>
        <w:pStyle w:val="30"/>
        <w:bidi w:val="0"/>
        <w:rPr>
          <w:rFonts w:hint="default"/>
          <w:lang w:val="en-US" w:eastAsia="zh-CN"/>
        </w:rPr>
      </w:pPr>
      <w:bookmarkStart w:id="15" w:name="_Toc30397"/>
      <w:r>
        <w:rPr>
          <w:rFonts w:hint="default"/>
          <w:lang w:val="en-US" w:eastAsia="zh-CN"/>
        </w:rPr>
        <w:t>能力策划</w:t>
      </w:r>
      <w:bookmarkEnd w:id="15"/>
    </w:p>
    <w:p w14:paraId="4F7F6B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启动：每年第四季度，由质量管理部牵头启动下一年度的运维服务能力策划工作。</w:t>
      </w:r>
    </w:p>
    <w:p w14:paraId="220926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输入：策划需基于公司发展战略、市场分析、客户反馈、服务绩效回顾、现有能力评估及《运维服务目录》的要求。</w:t>
      </w:r>
    </w:p>
    <w:p w14:paraId="6360D7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制定：</w:t>
      </w:r>
    </w:p>
    <w:p w14:paraId="59BFD8E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各部门根据职责分工，提出本领域的能力建设需求与初步计划。</w:t>
      </w:r>
    </w:p>
    <w:p w14:paraId="0E709EF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运维部聚焦服务交付流程、监控体系、知识库、现场支持等能力。</w:t>
      </w:r>
    </w:p>
    <w:p w14:paraId="4F81D86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研发部聚焦技术路线图、研发项目、工具自动化、创新解决方案等能力。</w:t>
      </w:r>
    </w:p>
    <w:p w14:paraId="7B89C99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人力资源部聚焦人才结构、技能图谱、培训体系、梯队建设等能力。</w:t>
      </w:r>
    </w:p>
    <w:p w14:paraId="49DCB4B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服务知识中的经验教训、服务数据统计结果（如工单趋势、故障分布等）</w:t>
      </w:r>
    </w:p>
    <w:p w14:paraId="41767FE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应急管理部聚焦预案完善、演练频次、资源储备等能力。</w:t>
      </w:r>
    </w:p>
    <w:p w14:paraId="1DF7D0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</w:t>
      </w:r>
    </w:p>
    <w:p w14:paraId="32D6D0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质量管理部汇总、平衡各部门计划，形成《年度运维服务能力管理计划》和《运维服务能力指标体系》草案；</w:t>
      </w:r>
    </w:p>
    <w:p w14:paraId="196004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研发部同步编制《年度技术研发规划》草案；</w:t>
      </w:r>
    </w:p>
    <w:p w14:paraId="16E499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质量管理部将上述草案汇总后，统一提交公司管理层审批。</w:t>
      </w:r>
    </w:p>
    <w:p w14:paraId="300EB7B1">
      <w:pPr>
        <w:pStyle w:val="30"/>
        <w:bidi w:val="0"/>
        <w:rPr>
          <w:rFonts w:hint="default"/>
          <w:lang w:val="en-US" w:eastAsia="zh-CN"/>
        </w:rPr>
      </w:pPr>
      <w:bookmarkStart w:id="16" w:name="_Toc27297"/>
      <w:r>
        <w:rPr>
          <w:rFonts w:hint="default"/>
          <w:lang w:val="en-US" w:eastAsia="zh-CN"/>
        </w:rPr>
        <w:t>计划审批</w:t>
      </w:r>
      <w:bookmarkEnd w:id="16"/>
    </w:p>
    <w:p w14:paraId="256C80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质量管理部将上述草案提交公司管理层进行审批。</w:t>
      </w:r>
    </w:p>
    <w:p w14:paraId="57C7B4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管理层从公司全局战略、资源投入、风险与收益等角度进行审议，确保计划的适宜性、完整性与可行性。</w:t>
      </w:r>
    </w:p>
    <w:p w14:paraId="0EFF23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计划经批准后正式生效，作为本年度能力建设的纲领性文件。</w:t>
      </w:r>
    </w:p>
    <w:p w14:paraId="0617088C">
      <w:pPr>
        <w:pStyle w:val="30"/>
        <w:bidi w:val="0"/>
        <w:rPr>
          <w:rFonts w:hint="default"/>
          <w:lang w:val="en-US" w:eastAsia="zh-CN"/>
        </w:rPr>
      </w:pPr>
      <w:bookmarkStart w:id="17" w:name="_Toc7678"/>
      <w:r>
        <w:rPr>
          <w:rFonts w:hint="default"/>
          <w:lang w:val="en-US" w:eastAsia="zh-CN"/>
        </w:rPr>
        <w:t>计划执行</w:t>
      </w:r>
      <w:bookmarkEnd w:id="17"/>
    </w:p>
    <w:p w14:paraId="089A49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各责任部门（运维部、研发部、人力资源部、应急管理部等）依据获批的《年度运维服务能力管理计划》开展具体的能力建设与管理工作。</w:t>
      </w:r>
    </w:p>
    <w:p w14:paraId="0A7C6C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各部门需将计划任务分解到季度或月度，确保有序推进。</w:t>
      </w:r>
    </w:p>
    <w:p w14:paraId="488767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执行过程中应保留相关实施证据，如培训记录、项目文档、测试报告、采购清单等。</w:t>
      </w:r>
    </w:p>
    <w:p w14:paraId="513A7B91">
      <w:pPr>
        <w:pStyle w:val="30"/>
        <w:bidi w:val="0"/>
        <w:rPr>
          <w:rFonts w:hint="default"/>
          <w:lang w:val="en-US" w:eastAsia="zh-CN"/>
        </w:rPr>
      </w:pPr>
      <w:bookmarkStart w:id="18" w:name="_Toc4992"/>
      <w:r>
        <w:rPr>
          <w:rFonts w:hint="default"/>
          <w:lang w:val="en-US" w:eastAsia="zh-CN"/>
        </w:rPr>
        <w:t>过程监督</w:t>
      </w:r>
      <w:bookmarkEnd w:id="18"/>
    </w:p>
    <w:p w14:paraId="3A5B14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质量管理部负责对能力管理计划的执行情况进行定期（如每季度）监督与检查。</w:t>
      </w:r>
    </w:p>
    <w:p w14:paraId="7F1717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监督内容包括：计划任务完成进度、资源使用情况、阶段性成果质量、遇到的问题与风险。</w:t>
      </w:r>
    </w:p>
    <w:p w14:paraId="296E52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质量管理部将监督结果形成报告，向公司管理层汇报，并对发现的不符合项或偏差发出纠正/预防措施要求，跟踪其整改情况。</w:t>
      </w:r>
    </w:p>
    <w:p w14:paraId="57028E9B">
      <w:pPr>
        <w:pStyle w:val="30"/>
        <w:bidi w:val="0"/>
        <w:rPr>
          <w:rFonts w:hint="default"/>
          <w:lang w:val="en-US" w:eastAsia="zh-CN"/>
        </w:rPr>
      </w:pPr>
      <w:bookmarkStart w:id="19" w:name="_Toc3613"/>
      <w:r>
        <w:rPr>
          <w:rFonts w:hint="default"/>
          <w:lang w:val="en-US" w:eastAsia="zh-CN"/>
        </w:rPr>
        <w:t>年度总结</w:t>
      </w:r>
      <w:bookmarkEnd w:id="19"/>
    </w:p>
    <w:p w14:paraId="0375A0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每年年底或次年年初，由质量管理部组织，各相关部门共同参与，对全年运维服务能力管理计划的执行情况进行全面总结。</w:t>
      </w:r>
    </w:p>
    <w:p w14:paraId="513A79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总结内容应包括：</w:t>
      </w:r>
    </w:p>
    <w:p w14:paraId="09D4C18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计划目标达成情况分析。</w:t>
      </w:r>
    </w:p>
    <w:p w14:paraId="732C9F0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能力指标体系完成情况评估。</w:t>
      </w:r>
    </w:p>
    <w:p w14:paraId="2A8E3A9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技术研发成果回顾。</w:t>
      </w:r>
    </w:p>
    <w:p w14:paraId="7F5ACDC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成功经验与最佳实践总结。</w:t>
      </w:r>
    </w:p>
    <w:p w14:paraId="39CF4F7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存在问题、不足及根本原因分析。</w:t>
      </w:r>
    </w:p>
    <w:p w14:paraId="599805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总结形成的报告、经验教训等知识资产，由质量管理部负责归档至公司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6728CC6A">
      <w:pPr>
        <w:pStyle w:val="30"/>
        <w:bidi w:val="0"/>
        <w:rPr>
          <w:rFonts w:hint="default"/>
          <w:lang w:val="en-US" w:eastAsia="zh-CN"/>
        </w:rPr>
      </w:pPr>
      <w:bookmarkStart w:id="20" w:name="_Toc12045"/>
      <w:r>
        <w:rPr>
          <w:rFonts w:hint="default"/>
          <w:lang w:val="en-US" w:eastAsia="zh-CN"/>
        </w:rPr>
        <w:t>改进与优化</w:t>
      </w:r>
      <w:bookmarkEnd w:id="20"/>
    </w:p>
    <w:p w14:paraId="5D917E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基于年度总结和监督过程中发现的问题，各责任部门制定具体的改进措施与计划。</w:t>
      </w:r>
    </w:p>
    <w:p w14:paraId="27CA6A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质量管理部跟踪改进措施的实施与验证效果。</w:t>
      </w:r>
    </w:p>
    <w:p w14:paraId="08D40B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年度总结的输出应作为下一年度能力策划的关键输入，形成“策划（P）-执行（D）-检查（C）-改进（A）”的闭环管理，驱动公司运维服务能力持续提升。</w:t>
      </w:r>
    </w:p>
    <w:p w14:paraId="2F084D04">
      <w:pPr>
        <w:pStyle w:val="28"/>
        <w:bidi w:val="0"/>
        <w:rPr>
          <w:rFonts w:hint="default"/>
          <w:lang w:val="en-US" w:eastAsia="zh-CN"/>
        </w:rPr>
      </w:pPr>
      <w:bookmarkStart w:id="21" w:name="_Toc29524"/>
      <w:r>
        <w:rPr>
          <w:rFonts w:hint="default"/>
          <w:lang w:val="en-US" w:eastAsia="zh-CN"/>
        </w:rPr>
        <w:t>附则</w:t>
      </w:r>
      <w:bookmarkEnd w:id="21"/>
    </w:p>
    <w:p w14:paraId="5D5AEA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7AC7B0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46F47B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7FAA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E8B92B"/>
    <w:multiLevelType w:val="singleLevel"/>
    <w:tmpl w:val="CFE8B9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8E5F6"/>
    <w:multiLevelType w:val="singleLevel"/>
    <w:tmpl w:val="D3A8E5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6D339A"/>
    <w:rsid w:val="17DB5B7E"/>
    <w:rsid w:val="3E7964D0"/>
    <w:rsid w:val="47BA79A2"/>
    <w:rsid w:val="52C27FEE"/>
    <w:rsid w:val="5BF23DFB"/>
    <w:rsid w:val="658168F5"/>
    <w:rsid w:val="65E85C37"/>
    <w:rsid w:val="6EC407F2"/>
    <w:rsid w:val="73A33523"/>
    <w:rsid w:val="7F2B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2232</Words>
  <Characters>2353</Characters>
  <Lines>0</Lines>
  <Paragraphs>0</Paragraphs>
  <TotalTime>0</TotalTime>
  <ScaleCrop>false</ScaleCrop>
  <LinksUpToDate>false</LinksUpToDate>
  <CharactersWithSpaces>2395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2026-04-24T15:24:14Z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