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F73A2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9524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BD1A85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3995"/>
      <w:r>
        <w:rPr>
          <w:rFonts w:hint="eastAsia"/>
          <w:lang w:val="en-US" w:eastAsia="zh-CN"/>
        </w:rPr>
        <w:t>运维服务能力改进管理制度</w:t>
      </w:r>
      <w:bookmarkEnd w:id="1"/>
    </w:p>
    <w:p w14:paraId="5DA34BA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0D6BF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E0BE9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003542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A3E6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E9005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V2.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9BE5C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bookmarkStart w:id="28" w:name="_GoBack"/>
            <w:bookmarkEnd w:id="28"/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BF7A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08134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180401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40B8A7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6C6CB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273806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2634584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578FE10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147E6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BD09C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7FA08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B64C3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F8120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238D3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2022.06.20</w:t>
            </w:r>
          </w:p>
        </w:tc>
        <w:tc>
          <w:tcPr>
            <w:tcW w:w="972" w:type="dxa"/>
          </w:tcPr>
          <w:p w14:paraId="4242E5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</w:tcPr>
          <w:p w14:paraId="376A8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3E613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6B7340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</w:rPr>
              <w:t>茅建根</w:t>
            </w:r>
          </w:p>
        </w:tc>
        <w:tc>
          <w:tcPr>
            <w:tcW w:w="915" w:type="dxa"/>
          </w:tcPr>
          <w:p w14:paraId="5A21E8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796958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  <w:shd w:val="clear" w:color="auto" w:fill="auto"/>
          </w:tcPr>
          <w:p w14:paraId="38813B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.01.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 w14:paraId="00CF17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hint="eastAsia" w:ascii="宋体" w:hAnsi="宋体" w:cs="宋体"/>
                <w:spacing w:val="4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575" w:type="dxa"/>
            <w:shd w:val="clear" w:color="auto" w:fill="auto"/>
          </w:tcPr>
          <w:p w14:paraId="767A4D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>完善持续改进</w:t>
            </w:r>
          </w:p>
        </w:tc>
        <w:tc>
          <w:tcPr>
            <w:tcW w:w="1829" w:type="dxa"/>
            <w:shd w:val="clear" w:color="auto" w:fill="auto"/>
          </w:tcPr>
          <w:p w14:paraId="6E8E22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  <w:shd w:val="clear" w:color="auto" w:fill="auto"/>
          </w:tcPr>
          <w:p w14:paraId="5C50AB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pacing w:val="0"/>
                <w:kern w:val="0"/>
                <w:sz w:val="20"/>
                <w:szCs w:val="20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 w14:paraId="64A75B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30F7C85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0EF3C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5869729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3983F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6F4677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9DE7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13C690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A0B9A4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1776AE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6C4CC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4FFF5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A3FE1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1F5D1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79C06D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91BFDC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81B0C3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3B7D3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_Toc29524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_Toc29524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2C621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_Toc13995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运维服务能力改进管理制度</w:t>
          </w:r>
          <w:r>
            <w:tab/>
          </w:r>
          <w:r>
            <w:fldChar w:fldCharType="begin"/>
          </w:r>
          <w:r>
            <w:instrText xml:space="preserve"> PAGEREF _Toc13995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4C11C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_Toc30129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FE4B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_Toc21807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37B82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_Toc31218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_Toc31218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822BB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管理目标</w:t>
          </w:r>
          <w:r>
            <w:tab/>
          </w:r>
          <w:r>
            <w:fldChar w:fldCharType="begin"/>
          </w:r>
          <w:r>
            <w:instrText xml:space="preserve"> PAGEREF _Toc14119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2908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 术语定义</w:t>
          </w:r>
          <w:r>
            <w:tab/>
          </w:r>
          <w:r>
            <w:fldChar w:fldCharType="begin"/>
          </w:r>
          <w:r>
            <w:instrText xml:space="preserve"> PAGEREF _Toc23935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62D1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组织与职责</w:t>
          </w:r>
          <w:r>
            <w:tab/>
          </w:r>
          <w:r>
            <w:fldChar w:fldCharType="begin"/>
          </w:r>
          <w:r>
            <w:instrText xml:space="preserve"> PAGEREF _Toc28480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3FC5D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质量管理部</w:t>
          </w:r>
          <w:r>
            <w:tab/>
          </w:r>
          <w:r>
            <w:fldChar w:fldCharType="begin"/>
          </w:r>
          <w:r>
            <w:instrText xml:space="preserve"> PAGEREF _Toc3988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E8E5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运维部</w:t>
          </w:r>
          <w:r>
            <w:tab/>
          </w:r>
          <w:r>
            <w:fldChar w:fldCharType="begin"/>
          </w:r>
          <w:r>
            <w:instrText xml:space="preserve"> PAGEREF _Toc16897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9A331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2.3. 研发部</w:t>
          </w:r>
          <w:r>
            <w:tab/>
          </w:r>
          <w:r>
            <w:fldChar w:fldCharType="begin"/>
          </w:r>
          <w:r>
            <w:instrText xml:space="preserve"> PAGEREF _Toc29675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D4DD9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2.4. 人力资源部</w:t>
          </w:r>
          <w:r>
            <w:tab/>
          </w:r>
          <w:r>
            <w:fldChar w:fldCharType="begin"/>
          </w:r>
          <w:r>
            <w:instrText xml:space="preserve"> PAGEREF _Toc14409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06499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2.5. 应急管理部</w:t>
          </w:r>
          <w:r>
            <w:tab/>
          </w:r>
          <w:r>
            <w:fldChar w:fldCharType="begin"/>
          </w:r>
          <w:r>
            <w:instrText xml:space="preserve"> PAGEREF _Toc31693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145C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管理者代表</w:t>
          </w:r>
          <w:r>
            <w:tab/>
          </w:r>
          <w:r>
            <w:fldChar w:fldCharType="begin"/>
          </w:r>
          <w:r>
            <w:instrText xml:space="preserve"> PAGEREF _Toc25238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174E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_Toc12465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EE4D6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改进管理流程</w:t>
          </w:r>
          <w:r>
            <w:tab/>
          </w:r>
          <w:r>
            <w:fldChar w:fldCharType="begin"/>
          </w:r>
          <w:r>
            <w:instrText xml:space="preserve"> PAGEREF _Toc15274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E429E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改进机会识别</w:t>
          </w:r>
          <w:r>
            <w:tab/>
          </w:r>
          <w:r>
            <w:fldChar w:fldCharType="begin"/>
          </w:r>
          <w:r>
            <w:instrText xml:space="preserve"> PAGEREF _Toc1234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B353C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改进建议提交与评估</w:t>
          </w:r>
          <w:r>
            <w:tab/>
          </w:r>
          <w:r>
            <w:fldChar w:fldCharType="begin"/>
          </w:r>
          <w:r>
            <w:instrText xml:space="preserve"> PAGEREF _Toc19794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229B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 改进计划制定与审批</w:t>
          </w:r>
          <w:r>
            <w:tab/>
          </w:r>
          <w:r>
            <w:fldChar w:fldCharType="begin"/>
          </w:r>
          <w:r>
            <w:instrText xml:space="preserve"> PAGEREF _Toc8540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1B3F2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3.3.1. 计划制定</w:t>
          </w:r>
          <w:r>
            <w:tab/>
          </w:r>
          <w:r>
            <w:fldChar w:fldCharType="begin"/>
          </w:r>
          <w:r>
            <w:instrText xml:space="preserve"> PAGEREF _Toc4177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71F3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_Toc26404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3.3.2. 审批</w:t>
          </w:r>
          <w:r>
            <w:tab/>
          </w:r>
          <w:r>
            <w:fldChar w:fldCharType="begin"/>
          </w:r>
          <w:r>
            <w:instrText xml:space="preserve"> PAGEREF _Toc26404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1444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3.4. 改进措施实施与跟踪</w:t>
          </w:r>
          <w:r>
            <w:tab/>
          </w:r>
          <w:r>
            <w:fldChar w:fldCharType="begin"/>
          </w:r>
          <w:r>
            <w:instrText xml:space="preserve"> PAGEREF _Toc2245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3D39B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3.5. 改进效果验证与关闭</w:t>
          </w:r>
          <w:r>
            <w:tab/>
          </w:r>
          <w:r>
            <w:fldChar w:fldCharType="begin"/>
          </w:r>
          <w:r>
            <w:instrText xml:space="preserve"> PAGEREF _Toc15881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E782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3.6. 知识管理与固化</w:t>
          </w:r>
          <w:r>
            <w:tab/>
          </w:r>
          <w:r>
            <w:fldChar w:fldCharType="begin"/>
          </w:r>
          <w:r>
            <w:instrText xml:space="preserve"> PAGEREF _Toc27254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E9D8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改进的分类与分级</w:t>
          </w:r>
          <w:r>
            <w:tab/>
          </w:r>
          <w:r>
            <w:fldChar w:fldCharType="begin"/>
          </w:r>
          <w:r>
            <w:instrText xml:space="preserve"> PAGEREF _Toc28783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67F64A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持续改进文化</w:t>
          </w:r>
          <w:r>
            <w:tab/>
          </w:r>
          <w:r>
            <w:fldChar w:fldCharType="begin"/>
          </w:r>
          <w:r>
            <w:instrText xml:space="preserve"> PAGEREF _Toc11512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229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附则</w:t>
          </w:r>
          <w:r>
            <w:tab/>
          </w:r>
          <w:r>
            <w:fldChar w:fldCharType="begin"/>
          </w:r>
          <w:r>
            <w:instrText xml:space="preserve"> PAGEREF _Toc31599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F05B8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1D5C85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933C8A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" w:name="_Toc30129"/>
      <w:r>
        <w:rPr>
          <w:rFonts w:hint="default"/>
          <w:lang w:val="en-US" w:eastAsia="zh-CN"/>
        </w:rPr>
        <w:t>总则</w:t>
      </w:r>
      <w:bookmarkEnd w:id="2"/>
    </w:p>
    <w:p w14:paraId="2E18BAE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1807"/>
      <w:r>
        <w:rPr>
          <w:rFonts w:hint="default"/>
          <w:lang w:val="en-US" w:eastAsia="zh-CN"/>
        </w:rPr>
        <w:t>目的</w:t>
      </w:r>
      <w:bookmarkEnd w:id="3"/>
    </w:p>
    <w:p w14:paraId="44848E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建立系统化、规范化的运维服务能力改进机制，确保桐乡华数广电网络有限公司（以下简称“公司”）能够主动识别、有效评估、快速实施并验证各类改进机会，形成持续改进的闭环，从而不断提升运维服务效率、质量、客户满意度及核心竞争力，特制定本制度。</w:t>
      </w:r>
    </w:p>
    <w:p w14:paraId="306AA99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31218"/>
      <w:r>
        <w:rPr>
          <w:rFonts w:hint="default"/>
          <w:lang w:val="en-US" w:eastAsia="zh-CN"/>
        </w:rPr>
        <w:t>适用范围</w:t>
      </w:r>
      <w:bookmarkEnd w:id="4"/>
    </w:p>
    <w:p w14:paraId="4A8544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本制度适用于公司范围内所有与软件运维服务能力相关的改进活动，包括但不限于对运维流程、技术工具、人员技能、资源配置、管理体系及应急机制等方面的改进。覆盖部门包括运维部、研发部、</w:t>
      </w:r>
      <w:r>
        <w:rPr>
          <w:rFonts w:hint="eastAsia"/>
          <w:lang w:val="en-US" w:eastAsia="zh-CN"/>
        </w:rPr>
        <w:t>采购部、</w:t>
      </w:r>
      <w:r>
        <w:rPr>
          <w:rFonts w:hint="default"/>
          <w:lang w:val="en-US" w:eastAsia="zh-CN"/>
        </w:rPr>
        <w:t>质量管理部、人力资源部及应急管理部。</w:t>
      </w:r>
    </w:p>
    <w:p w14:paraId="055870C4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14119"/>
      <w:r>
        <w:rPr>
          <w:rFonts w:hint="default"/>
          <w:lang w:val="en-US" w:eastAsia="zh-CN"/>
        </w:rPr>
        <w:t>管理目标</w:t>
      </w:r>
      <w:bookmarkEnd w:id="5"/>
    </w:p>
    <w:p w14:paraId="5D0F4AC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确保改进活动有章可循、有据可查。</w:t>
      </w:r>
    </w:p>
    <w:p w14:paraId="30D5DA8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形成从问题发现到措施验证的完整管理闭环。</w:t>
      </w:r>
    </w:p>
    <w:p w14:paraId="48E88F9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促进组织学习与知识积累。</w:t>
      </w:r>
    </w:p>
    <w:p w14:paraId="60E5D3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确保持续改进成为公司运维服务管理的常态化工作。</w:t>
      </w:r>
    </w:p>
    <w:p w14:paraId="0CEE26E7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23935"/>
      <w:r>
        <w:rPr>
          <w:rFonts w:hint="default"/>
          <w:lang w:val="en-US" w:eastAsia="zh-CN"/>
        </w:rPr>
        <w:t>术语定义</w:t>
      </w:r>
      <w:bookmarkEnd w:id="6"/>
    </w:p>
    <w:p w14:paraId="3C23831E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改进机会：指任何可能提升服务效率、质量、安全性、客户满意度或降低成本的问题、需求、建议或创新想法。</w:t>
      </w:r>
    </w:p>
    <w:p w14:paraId="376EEA2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改进项：经正式评估和审批后，纳入计划并分配资源进行实施的改进机会。</w:t>
      </w:r>
    </w:p>
    <w:p w14:paraId="7CFC376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改进关闭：改进措施实施完成，且效果经过验证达到预期目标的状态。</w:t>
      </w:r>
    </w:p>
    <w:p w14:paraId="69B083B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8480"/>
      <w:r>
        <w:rPr>
          <w:rFonts w:hint="default"/>
          <w:lang w:val="en-US" w:eastAsia="zh-CN"/>
        </w:rPr>
        <w:t>组织与职责</w:t>
      </w:r>
      <w:bookmarkEnd w:id="7"/>
    </w:p>
    <w:p w14:paraId="160C78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3988"/>
      <w:r>
        <w:rPr>
          <w:rFonts w:hint="default"/>
          <w:lang w:val="en-US" w:eastAsia="zh-CN"/>
        </w:rPr>
        <w:t>质量管理部</w:t>
      </w:r>
      <w:bookmarkEnd w:id="8"/>
    </w:p>
    <w:p w14:paraId="6C7364A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作为改进管理的归口部门，负责本制度的维护与解释。</w:t>
      </w:r>
    </w:p>
    <w:p w14:paraId="073F33A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接收、初审、分发来自各渠道的改进建议。</w:t>
      </w:r>
    </w:p>
    <w:p w14:paraId="0164E50F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组织跨部门改进项的评估与优先级排序。</w:t>
      </w:r>
    </w:p>
    <w:p w14:paraId="4374338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监督改进计划的执行与进度跟踪。</w:t>
      </w:r>
    </w:p>
    <w:p w14:paraId="608DD2E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组织或参与重大改进项的效果验证。</w:t>
      </w:r>
    </w:p>
    <w:p w14:paraId="2102E9D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维护《公司改进项跟踪台账》及知识库中的改进案例。</w:t>
      </w:r>
    </w:p>
    <w:p w14:paraId="77FBE25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6897"/>
      <w:r>
        <w:rPr>
          <w:rFonts w:hint="default"/>
          <w:lang w:val="en-US" w:eastAsia="zh-CN"/>
        </w:rPr>
        <w:t>运维部</w:t>
      </w:r>
      <w:bookmarkEnd w:id="9"/>
    </w:p>
    <w:p w14:paraId="1640956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负责识别并提交服务交付、事件/问题管理、服务请求履行等日常运营过程中的改进机会。</w:t>
      </w:r>
    </w:p>
    <w:p w14:paraId="619F2D2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负责实施与本部门职责相关的改进措施。</w:t>
      </w:r>
    </w:p>
    <w:p w14:paraId="2439B56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参与改进效果的评估与反馈。</w:t>
      </w:r>
    </w:p>
    <w:p w14:paraId="4BC12E5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675"/>
      <w:r>
        <w:rPr>
          <w:rFonts w:hint="default"/>
          <w:lang w:val="en-US" w:eastAsia="zh-CN"/>
        </w:rPr>
        <w:t>研发部</w:t>
      </w:r>
      <w:bookmarkEnd w:id="10"/>
    </w:p>
    <w:p w14:paraId="05DAFC3D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负责识别并提交技术架构、工具平台、自动化脚本、解决方案等方面的技术改进与创新机会。</w:t>
      </w:r>
    </w:p>
    <w:p w14:paraId="1EBE80F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负责实施技术类改进项的研发与部署。</w:t>
      </w:r>
    </w:p>
    <w:p w14:paraId="59ADE7E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为其他部门的改进措施提供技术可行性分析与支持。</w:t>
      </w:r>
    </w:p>
    <w:p w14:paraId="28C3515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4409"/>
      <w:r>
        <w:rPr>
          <w:rFonts w:hint="default"/>
          <w:lang w:val="en-US" w:eastAsia="zh-CN"/>
        </w:rPr>
        <w:t>人力资源部</w:t>
      </w:r>
      <w:bookmarkEnd w:id="11"/>
    </w:p>
    <w:p w14:paraId="1D816DE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负责识别并提交人员培训、技能发展、绩效考核、团队建设等人力资源方面的改进机会。</w:t>
      </w:r>
    </w:p>
    <w:p w14:paraId="4EFAE61A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负责实施人员能力发展相关的改进措施。</w:t>
      </w:r>
    </w:p>
    <w:p w14:paraId="25CB806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31693"/>
      <w:r>
        <w:rPr>
          <w:rFonts w:hint="default"/>
          <w:lang w:val="en-US" w:eastAsia="zh-CN"/>
        </w:rPr>
        <w:t>应急管理部</w:t>
      </w:r>
      <w:bookmarkEnd w:id="12"/>
    </w:p>
    <w:p w14:paraId="2760628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负责识别并提交应急预案、演练效果、应急响应流程等方面的改进机会。</w:t>
      </w:r>
    </w:p>
    <w:p w14:paraId="62023B5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负责实施应急响应能力的改进措施。</w:t>
      </w:r>
    </w:p>
    <w:p w14:paraId="0B63BDC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5238"/>
      <w:r>
        <w:rPr>
          <w:rFonts w:hint="eastAsia"/>
          <w:lang w:val="en-US" w:eastAsia="zh-CN"/>
        </w:rPr>
        <w:t>管理者代表</w:t>
      </w:r>
      <w:bookmarkEnd w:id="13"/>
    </w:p>
    <w:p w14:paraId="4BB4CD5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负责审批重大改进项或涉及重大资源投入的改进计划。</w:t>
      </w:r>
    </w:p>
    <w:p w14:paraId="61DE30B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听取改进管理工作的整体汇报，倡导持续改进文化。</w:t>
      </w:r>
    </w:p>
    <w:p w14:paraId="679A905D">
      <w:pPr>
        <w:pStyle w:val="30"/>
        <w:bidi w:val="0"/>
        <w:rPr>
          <w:rFonts w:hint="eastAsia"/>
          <w:lang w:val="en-US" w:eastAsia="zh-CN"/>
        </w:rPr>
      </w:pPr>
      <w:bookmarkStart w:id="14" w:name="_Toc25603"/>
      <w:bookmarkStart w:id="15" w:name="_Toc12465"/>
      <w:r>
        <w:rPr>
          <w:rFonts w:hint="eastAsia"/>
          <w:lang w:val="en-US" w:eastAsia="zh-CN"/>
        </w:rPr>
        <w:t>采购部</w:t>
      </w:r>
      <w:bookmarkEnd w:id="14"/>
      <w:bookmarkEnd w:id="15"/>
    </w:p>
    <w:p w14:paraId="21FE47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资源获取保障：作为运维服务能力建设的资源支撑部门，负责根据年度能力策划要求，实施运维工具、备件及第三方维保服务的采购工作。</w:t>
      </w:r>
    </w:p>
    <w:p w14:paraId="2659DBA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供应商管理：负责建立和维护合格供应商名录，定期对提供运维支撑的供应商（如硬件厂商、集成商等）进行服务质量评估与考核，确保外部资源持续满足公司运维能力要求。</w:t>
      </w:r>
    </w:p>
    <w:p w14:paraId="3B9674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合同与交付管理：负责采购合同的签订与履行监控，确保供应商交付的资源（备件、软件授权等）符合合同约定的质量标准及服务级别协议（SLA）。</w:t>
      </w:r>
    </w:p>
    <w:p w14:paraId="18C5E272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15274"/>
      <w:r>
        <w:rPr>
          <w:rFonts w:hint="default"/>
          <w:lang w:val="en-US" w:eastAsia="zh-CN"/>
        </w:rPr>
        <w:t>改进管理流程</w:t>
      </w:r>
      <w:bookmarkEnd w:id="16"/>
    </w:p>
    <w:p w14:paraId="1C44B92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234"/>
      <w:r>
        <w:rPr>
          <w:rFonts w:hint="default"/>
          <w:lang w:val="en-US" w:eastAsia="zh-CN"/>
        </w:rPr>
        <w:t>改进机会识别</w:t>
      </w:r>
      <w:bookmarkEnd w:id="17"/>
    </w:p>
    <w:p w14:paraId="477FB12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改进机会可通过以下渠道识别：</w:t>
      </w:r>
    </w:p>
    <w:p w14:paraId="7DA36F79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服务回顾会议：项目复盘、月度/季度服务评审会。</w:t>
      </w:r>
    </w:p>
    <w:p w14:paraId="6F383174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监控与分析：服务质量指标（SLA/KPI）未达标、事件趋势分析。</w:t>
      </w:r>
    </w:p>
    <w:p w14:paraId="6EF334C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审计与检查：内部审核、管理评审、外部评估发现的不符合项。</w:t>
      </w:r>
    </w:p>
    <w:p w14:paraId="10DBD4E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客户与用户反馈：满意度调查、投诉、建议。</w:t>
      </w:r>
    </w:p>
    <w:p w14:paraId="04EC02C8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员工建议：一线运维人员、技术专家的合理化建议。</w:t>
      </w:r>
    </w:p>
    <w:p w14:paraId="087C6B1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技术发展：行业新技术、新工具、新方法的应用评估。</w:t>
      </w:r>
    </w:p>
    <w:p w14:paraId="4B385FC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战略规划分解：从公司战略和年度能力管理计划中衍生出的改进要求。</w:t>
      </w:r>
    </w:p>
    <w:p w14:paraId="718D74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9794"/>
      <w:r>
        <w:rPr>
          <w:rFonts w:hint="default"/>
          <w:lang w:val="en-US" w:eastAsia="zh-CN"/>
        </w:rPr>
        <w:t>改进建议提交与评估</w:t>
      </w:r>
      <w:bookmarkEnd w:id="18"/>
    </w:p>
    <w:p w14:paraId="6560101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提交：建议人通过公司指定的系统或表单提交《改进建议单》，清晰描述改进背景、现状问题、初步建议及期望收益。</w:t>
      </w:r>
    </w:p>
    <w:p w14:paraId="1573BFB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初审：质量管理部在收到建议后，进行初步筛选与分类，判断其完整性及是否属于改进范畴。</w:t>
      </w:r>
    </w:p>
    <w:p w14:paraId="12FCA05C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评估：根据改进建议的影响范围，由质量管理部组织或责成相关部门负责人进行评估。评估内容包括：改进的必要性、紧急性、预期效益、所需资源、实施复杂度及潜在风险。</w:t>
      </w:r>
    </w:p>
    <w:p w14:paraId="3362A19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决策：评估后形成结论：立即采纳、纳入后续计划、需补充信息或不予采纳。结论及理由需反馈至建议人。</w:t>
      </w:r>
    </w:p>
    <w:p w14:paraId="096E3EA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8540"/>
      <w:r>
        <w:rPr>
          <w:rFonts w:hint="default"/>
          <w:lang w:val="en-US" w:eastAsia="zh-CN"/>
        </w:rPr>
        <w:t>改进计划制定与审批</w:t>
      </w:r>
      <w:bookmarkEnd w:id="19"/>
    </w:p>
    <w:p w14:paraId="4ACFFD36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4177"/>
      <w:r>
        <w:rPr>
          <w:rFonts w:hint="default"/>
          <w:lang w:val="en-US" w:eastAsia="zh-CN"/>
        </w:rPr>
        <w:t>计划制定</w:t>
      </w:r>
      <w:bookmarkEnd w:id="20"/>
    </w:p>
    <w:p w14:paraId="47FE6D4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对于决定采纳的改进项，由责任部门制定详细的《改进实施计划》，明确改进目标、范围、具体措施、责任人与完成时限、验收标准及所需资源。</w:t>
      </w:r>
    </w:p>
    <w:p w14:paraId="0DA87D7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26404"/>
      <w:r>
        <w:rPr>
          <w:rFonts w:hint="default"/>
          <w:lang w:val="en-US" w:eastAsia="zh-CN"/>
        </w:rPr>
        <w:t>审批</w:t>
      </w:r>
      <w:bookmarkEnd w:id="21"/>
    </w:p>
    <w:p w14:paraId="5260DA7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一般改进项：由责任部门负责人批准。</w:t>
      </w:r>
    </w:p>
    <w:p w14:paraId="686EAC08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重大改进项（涉及跨部门协作、重大资源投入或高风险变更）：由质量管理部审核后，报公司管理层批准。</w:t>
      </w:r>
    </w:p>
    <w:p w14:paraId="38058B7F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245"/>
      <w:r>
        <w:rPr>
          <w:rFonts w:hint="default"/>
          <w:lang w:val="en-US" w:eastAsia="zh-CN"/>
        </w:rPr>
        <w:t>改进措施实施与跟踪</w:t>
      </w:r>
      <w:bookmarkEnd w:id="22"/>
    </w:p>
    <w:p w14:paraId="54B8D4C5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实施：责任部门按照批准的《改进实施计划》执行改进措施。</w:t>
      </w:r>
    </w:p>
    <w:p w14:paraId="238103F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跟踪：质量管理部通过《公司改进项跟踪台账》，定期（如每月）跟踪各项改进的实施进度，协调解决跨部门问题，并向管理层报告整体状态（如：计划中、进行中、已延期、已完成、已关闭）。</w:t>
      </w:r>
    </w:p>
    <w:p w14:paraId="4A265D8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15881"/>
      <w:r>
        <w:rPr>
          <w:rFonts w:hint="default"/>
          <w:lang w:val="en-US" w:eastAsia="zh-CN"/>
        </w:rPr>
        <w:t>改进效果验证与关闭</w:t>
      </w:r>
      <w:bookmarkEnd w:id="23"/>
    </w:p>
    <w:p w14:paraId="72E0DA70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验证：改进措施完成后，由质量管理部会同责任部门及相关方，依据《改进实施计划》中的验收标准，对改进效果进行验证。验证方式可包括数据对比、测试、评审会议等。</w:t>
      </w:r>
    </w:p>
    <w:p w14:paraId="11F500A3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关闭：验证达到预期目标的改进项，由质量管理部在台账中标记为“已关闭”，并记录最终效果和主要经验。</w:t>
      </w:r>
    </w:p>
    <w:p w14:paraId="616954F2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未达到预期目标的改进项，由质量管理部组织责任部门进行根因分析，重新制定改进措施或调整目标后再次实施；若两次实施仍未达标，需提交管理层审议是否终止或变更改进方向。</w:t>
      </w:r>
    </w:p>
    <w:p w14:paraId="24D3A5A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</w:p>
    <w:p w14:paraId="34D4FD0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27254"/>
      <w:r>
        <w:rPr>
          <w:rFonts w:hint="default"/>
          <w:lang w:val="en-US" w:eastAsia="zh-CN"/>
        </w:rPr>
        <w:t>知识管理与固化</w:t>
      </w:r>
      <w:bookmarkEnd w:id="24"/>
    </w:p>
    <w:p w14:paraId="37E661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关闭的改进项，特别是效果显著的改进案例，应由责任部门整理成标准操作程序（SOP）、技术规范、培训材料或最佳实践案例，经质量管理部审核后，纳入公司服务知识库，供全员学习和推广，实现改进成果的固化与共享。</w:t>
      </w:r>
    </w:p>
    <w:p w14:paraId="72066D4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28783"/>
      <w:r>
        <w:rPr>
          <w:rFonts w:hint="default"/>
          <w:lang w:val="en-US" w:eastAsia="zh-CN"/>
        </w:rPr>
        <w:t>改进的分类与分级</w:t>
      </w:r>
      <w:bookmarkEnd w:id="25"/>
    </w:p>
    <w:p w14:paraId="128E1B3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按性质分类：流程优化类、技术工具类、人员技能类、管理机制类、应急能力类。</w:t>
      </w:r>
    </w:p>
    <w:p w14:paraId="561622D6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按影响分级：</w:t>
      </w:r>
    </w:p>
    <w:p w14:paraId="096185B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重大改进：需管理层审批，跨部门项目，投入资源多。</w:t>
      </w:r>
    </w:p>
    <w:p w14:paraId="477E1EB1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一般改进：部门内可决策并实施。</w:t>
      </w:r>
    </w:p>
    <w:p w14:paraId="2B44E57B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日常优化：可通过快速通道（如团队站会）直接处理并记录。</w:t>
      </w:r>
    </w:p>
    <w:p w14:paraId="10BF475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1512"/>
      <w:r>
        <w:rPr>
          <w:rFonts w:hint="default"/>
          <w:lang w:val="en-US" w:eastAsia="zh-CN"/>
        </w:rPr>
        <w:t>持续改进文化</w:t>
      </w:r>
      <w:bookmarkEnd w:id="26"/>
    </w:p>
    <w:p w14:paraId="5F56157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公司倡导和鼓励全员参与改进。对提出有价值改进建议或在改进实施中贡献突出的团队及个人，将依据公司相关规定给予认可或奖励。</w:t>
      </w:r>
    </w:p>
    <w:p w14:paraId="65D19CC0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31599"/>
      <w:r>
        <w:rPr>
          <w:rFonts w:hint="default"/>
          <w:lang w:val="en-US" w:eastAsia="zh-CN"/>
        </w:rPr>
        <w:t>附则</w:t>
      </w:r>
      <w:bookmarkEnd w:id="27"/>
    </w:p>
    <w:p w14:paraId="7341AEF9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本制度由质量管理部负责解释和修订。</w:t>
      </w:r>
    </w:p>
    <w:p w14:paraId="33E8A054">
      <w:pPr>
        <w:pStyle w:val="29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本制度自发布之日起正式实施，相关记录表单由质量管理部统一发布。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CD2356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3C22752"/>
    <w:multiLevelType w:val="singleLevel"/>
    <w:tmpl w:val="43C2275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D1B387B"/>
    <w:rsid w:val="25B41573"/>
    <w:rsid w:val="2A41096D"/>
    <w:rsid w:val="355552CD"/>
    <w:rsid w:val="412C3256"/>
    <w:rsid w:val="41354774"/>
    <w:rsid w:val="4A1221CB"/>
    <w:rsid w:val="5B9B5880"/>
    <w:rsid w:val="5CCF2DB7"/>
    <w:rsid w:val="66C33EDD"/>
    <w:rsid w:val="7F65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2648</Words>
  <Characters>2792</Characters>
  <Lines>0</Lines>
  <Paragraphs>0</Paragraphs>
  <TotalTime>0</TotalTime>
  <ScaleCrop>false</ScaleCrop>
  <LinksUpToDate>false</LinksUpToDate>
  <CharactersWithSpaces>2898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2026-04-24T15:24:22Z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