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D456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431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2D6F7233">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4007"/>
      <w:bookmarkStart w:id="2" w:name="_Toc6604"/>
      <w:r>
        <w:rPr>
          <w:rFonts w:hint="eastAsia"/>
          <w:lang w:val="en-US" w:eastAsia="zh-CN"/>
        </w:rPr>
        <w:t>2025年度运维服务能力管理计划</w:t>
      </w:r>
      <w:bookmarkEnd w:id="1"/>
      <w:bookmarkEnd w:id="2"/>
    </w:p>
    <w:p w14:paraId="5125A38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BA46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5599AA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2298C79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0BEF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24689C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74722E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CBA2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55489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1B760AE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36C9E0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90630E1">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AD406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980596D">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17D2F27E">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D745B0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B7F4DB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B6F5BF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C2F6CB2">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B9D27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8528A8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01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5CFA38F">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8767992">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8A449F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6CEBC32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34A0E5E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029A64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A51662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27FDE4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028808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310C4D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33F75B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03109B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EC755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7C5588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5A1B90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AF4ED7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E3F595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887321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F783E5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8DEAF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3E26F37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2550B8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19A384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54E6C1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68F13E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83C21F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AE39EB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6F8E808">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0FF89FC">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_Toc24311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_Toc24311 \h </w:instrText>
          </w:r>
          <w:r>
            <w:fldChar w:fldCharType="separate"/>
          </w:r>
          <w:r>
            <w:t>1</w:t>
          </w:r>
          <w:r>
            <w:fldChar w:fldCharType="end"/>
          </w:r>
          <w:r>
            <w:rPr>
              <w:rFonts w:hint="eastAsia" w:ascii="宋体" w:hAnsi="宋体" w:eastAsia="宋体" w:cs="宋体"/>
              <w:szCs w:val="24"/>
            </w:rPr>
            <w:fldChar w:fldCharType="end"/>
          </w:r>
        </w:p>
        <w:p w14:paraId="6BB6C0FC">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_Toc24007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_Toc24007 \h </w:instrText>
          </w:r>
          <w:r>
            <w:fldChar w:fldCharType="separate"/>
          </w:r>
          <w:r>
            <w:t>1</w:t>
          </w:r>
          <w:r>
            <w:fldChar w:fldCharType="end"/>
          </w:r>
          <w:r>
            <w:rPr>
              <w:rFonts w:hint="eastAsia" w:ascii="宋体" w:hAnsi="宋体" w:eastAsia="宋体" w:cs="宋体"/>
              <w:szCs w:val="24"/>
            </w:rPr>
            <w:fldChar w:fldCharType="end"/>
          </w:r>
        </w:p>
        <w:p w14:paraId="4B3B2183">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_Toc6353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_Toc6353 \h </w:instrText>
          </w:r>
          <w:r>
            <w:fldChar w:fldCharType="separate"/>
          </w:r>
          <w:r>
            <w:t>5</w:t>
          </w:r>
          <w:r>
            <w:fldChar w:fldCharType="end"/>
          </w:r>
          <w:r>
            <w:rPr>
              <w:rFonts w:hint="eastAsia" w:ascii="宋体" w:hAnsi="宋体" w:eastAsia="宋体" w:cs="宋体"/>
              <w:szCs w:val="24"/>
            </w:rPr>
            <w:fldChar w:fldCharType="end"/>
          </w:r>
        </w:p>
        <w:p w14:paraId="32CFB9F0">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_Toc7919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核心目标</w:t>
          </w:r>
          <w:r>
            <w:tab/>
          </w:r>
          <w:r>
            <w:fldChar w:fldCharType="begin"/>
          </w:r>
          <w:r>
            <w:instrText xml:space="preserve"> PAGEREF _Toc7919 \h </w:instrText>
          </w:r>
          <w:r>
            <w:fldChar w:fldCharType="separate"/>
          </w:r>
          <w:r>
            <w:t>5</w:t>
          </w:r>
          <w:r>
            <w:fldChar w:fldCharType="end"/>
          </w:r>
          <w:r>
            <w:rPr>
              <w:rFonts w:hint="eastAsia" w:ascii="宋体" w:hAnsi="宋体" w:eastAsia="宋体" w:cs="宋体"/>
              <w:szCs w:val="24"/>
            </w:rPr>
            <w:fldChar w:fldCharType="end"/>
          </w:r>
        </w:p>
        <w:p w14:paraId="29220620">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_Toc3534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公司沿革与核心优势</w:t>
          </w:r>
          <w:r>
            <w:tab/>
          </w:r>
          <w:r>
            <w:fldChar w:fldCharType="begin"/>
          </w:r>
          <w:r>
            <w:instrText xml:space="preserve"> PAGEREF _Toc3534 \h </w:instrText>
          </w:r>
          <w:r>
            <w:fldChar w:fldCharType="separate"/>
          </w:r>
          <w:r>
            <w:t>5</w:t>
          </w:r>
          <w:r>
            <w:fldChar w:fldCharType="end"/>
          </w:r>
          <w:r>
            <w:rPr>
              <w:rFonts w:hint="eastAsia" w:ascii="宋体" w:hAnsi="宋体" w:eastAsia="宋体" w:cs="宋体"/>
              <w:szCs w:val="24"/>
            </w:rPr>
            <w:fldChar w:fldCharType="end"/>
          </w:r>
        </w:p>
        <w:p w14:paraId="758163F0">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_Toc2230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引入ITSS的必要性</w:t>
          </w:r>
          <w:r>
            <w:tab/>
          </w:r>
          <w:r>
            <w:fldChar w:fldCharType="begin"/>
          </w:r>
          <w:r>
            <w:instrText xml:space="preserve"> PAGEREF _Toc2230 \h </w:instrText>
          </w:r>
          <w:r>
            <w:fldChar w:fldCharType="separate"/>
          </w:r>
          <w:r>
            <w:t>5</w:t>
          </w:r>
          <w:r>
            <w:fldChar w:fldCharType="end"/>
          </w:r>
          <w:r>
            <w:rPr>
              <w:rFonts w:hint="eastAsia" w:ascii="宋体" w:hAnsi="宋体" w:eastAsia="宋体" w:cs="宋体"/>
              <w:szCs w:val="24"/>
            </w:rPr>
            <w:fldChar w:fldCharType="end"/>
          </w:r>
        </w:p>
        <w:p w14:paraId="067719EC">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_Toc8160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人力资源配置</w:t>
          </w:r>
          <w:r>
            <w:tab/>
          </w:r>
          <w:r>
            <w:fldChar w:fldCharType="begin"/>
          </w:r>
          <w:r>
            <w:instrText xml:space="preserve"> PAGEREF _Toc8160 \h </w:instrText>
          </w:r>
          <w:r>
            <w:fldChar w:fldCharType="separate"/>
          </w:r>
          <w:r>
            <w:t>6</w:t>
          </w:r>
          <w:r>
            <w:fldChar w:fldCharType="end"/>
          </w:r>
          <w:r>
            <w:rPr>
              <w:rFonts w:hint="eastAsia" w:ascii="宋体" w:hAnsi="宋体" w:eastAsia="宋体" w:cs="宋体"/>
              <w:szCs w:val="24"/>
            </w:rPr>
            <w:fldChar w:fldCharType="end"/>
          </w:r>
        </w:p>
        <w:p w14:paraId="55B41ECA">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_Toc26478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运维保障提升</w:t>
          </w:r>
          <w:r>
            <w:tab/>
          </w:r>
          <w:r>
            <w:fldChar w:fldCharType="begin"/>
          </w:r>
          <w:r>
            <w:instrText xml:space="preserve"> PAGEREF _Toc26478 \h </w:instrText>
          </w:r>
          <w:r>
            <w:fldChar w:fldCharType="separate"/>
          </w:r>
          <w:r>
            <w:t>6</w:t>
          </w:r>
          <w:r>
            <w:fldChar w:fldCharType="end"/>
          </w:r>
          <w:r>
            <w:rPr>
              <w:rFonts w:hint="eastAsia" w:ascii="宋体" w:hAnsi="宋体" w:eastAsia="宋体" w:cs="宋体"/>
              <w:szCs w:val="24"/>
            </w:rPr>
            <w:fldChar w:fldCharType="end"/>
          </w:r>
        </w:p>
        <w:p w14:paraId="4B2BF5A2">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_Toc15249 </w:instrText>
          </w:r>
          <w:r>
            <w:rPr>
              <w:rFonts w:hint="eastAsia" w:ascii="宋体" w:hAnsi="宋体" w:eastAsia="宋体" w:cs="宋体"/>
              <w:szCs w:val="24"/>
            </w:rPr>
            <w:fldChar w:fldCharType="separate"/>
          </w:r>
          <w:r>
            <w:rPr>
              <w:rFonts w:hint="default"/>
              <w:lang w:val="en-US" w:eastAsia="zh-CN"/>
            </w:rPr>
            <w:t xml:space="preserve">1.5.1. </w:t>
          </w:r>
          <w:r>
            <w:rPr>
              <w:rFonts w:hint="eastAsia"/>
              <w:lang w:val="en-US" w:eastAsia="zh-CN"/>
            </w:rPr>
            <w:t>服务台</w:t>
          </w:r>
          <w:r>
            <w:tab/>
          </w:r>
          <w:r>
            <w:fldChar w:fldCharType="begin"/>
          </w:r>
          <w:r>
            <w:instrText xml:space="preserve"> PAGEREF _Toc15249 \h </w:instrText>
          </w:r>
          <w:r>
            <w:fldChar w:fldCharType="separate"/>
          </w:r>
          <w:r>
            <w:t>6</w:t>
          </w:r>
          <w:r>
            <w:fldChar w:fldCharType="end"/>
          </w:r>
          <w:r>
            <w:rPr>
              <w:rFonts w:hint="eastAsia" w:ascii="宋体" w:hAnsi="宋体" w:eastAsia="宋体" w:cs="宋体"/>
              <w:szCs w:val="24"/>
            </w:rPr>
            <w:fldChar w:fldCharType="end"/>
          </w:r>
        </w:p>
        <w:p w14:paraId="176CED16">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_Toc2289 </w:instrText>
          </w:r>
          <w:r>
            <w:rPr>
              <w:rFonts w:hint="eastAsia" w:ascii="宋体" w:hAnsi="宋体" w:eastAsia="宋体" w:cs="宋体"/>
              <w:szCs w:val="24"/>
            </w:rPr>
            <w:fldChar w:fldCharType="separate"/>
          </w:r>
          <w:r>
            <w:rPr>
              <w:rFonts w:hint="default"/>
              <w:lang w:val="en-US" w:eastAsia="zh-CN"/>
            </w:rPr>
            <w:t xml:space="preserve">1.5.2. </w:t>
          </w:r>
          <w:r>
            <w:rPr>
              <w:rFonts w:hint="eastAsia"/>
              <w:lang w:val="en-US" w:eastAsia="zh-CN"/>
            </w:rPr>
            <w:t>运维工具</w:t>
          </w:r>
          <w:r>
            <w:tab/>
          </w:r>
          <w:r>
            <w:fldChar w:fldCharType="begin"/>
          </w:r>
          <w:r>
            <w:instrText xml:space="preserve"> PAGEREF _Toc2289 \h </w:instrText>
          </w:r>
          <w:r>
            <w:fldChar w:fldCharType="separate"/>
          </w:r>
          <w:r>
            <w:t>6</w:t>
          </w:r>
          <w:r>
            <w:fldChar w:fldCharType="end"/>
          </w:r>
          <w:r>
            <w:rPr>
              <w:rFonts w:hint="eastAsia" w:ascii="宋体" w:hAnsi="宋体" w:eastAsia="宋体" w:cs="宋体"/>
              <w:szCs w:val="24"/>
            </w:rPr>
            <w:fldChar w:fldCharType="end"/>
          </w:r>
        </w:p>
        <w:p w14:paraId="73710AEA">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_Toc9445 </w:instrText>
          </w:r>
          <w:r>
            <w:rPr>
              <w:rFonts w:hint="eastAsia" w:ascii="宋体" w:hAnsi="宋体" w:eastAsia="宋体" w:cs="宋体"/>
              <w:szCs w:val="24"/>
            </w:rPr>
            <w:fldChar w:fldCharType="separate"/>
          </w:r>
          <w:r>
            <w:rPr>
              <w:rFonts w:hint="default"/>
              <w:lang w:val="en-US" w:eastAsia="zh-CN"/>
            </w:rPr>
            <w:t xml:space="preserve">1.5.3. </w:t>
          </w:r>
          <w:r>
            <w:rPr>
              <w:rFonts w:hint="eastAsia"/>
              <w:lang w:val="en-US" w:eastAsia="zh-CN"/>
            </w:rPr>
            <w:t>服务知识</w:t>
          </w:r>
          <w:r>
            <w:tab/>
          </w:r>
          <w:r>
            <w:fldChar w:fldCharType="begin"/>
          </w:r>
          <w:r>
            <w:instrText xml:space="preserve"> PAGEREF _Toc9445 \h </w:instrText>
          </w:r>
          <w:r>
            <w:fldChar w:fldCharType="separate"/>
          </w:r>
          <w:r>
            <w:t>7</w:t>
          </w:r>
          <w:r>
            <w:fldChar w:fldCharType="end"/>
          </w:r>
          <w:r>
            <w:rPr>
              <w:rFonts w:hint="eastAsia" w:ascii="宋体" w:hAnsi="宋体" w:eastAsia="宋体" w:cs="宋体"/>
              <w:szCs w:val="24"/>
            </w:rPr>
            <w:fldChar w:fldCharType="end"/>
          </w:r>
        </w:p>
        <w:p w14:paraId="63342224">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_Toc24703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运维服务能力管理计划</w:t>
          </w:r>
          <w:r>
            <w:tab/>
          </w:r>
          <w:r>
            <w:fldChar w:fldCharType="begin"/>
          </w:r>
          <w:r>
            <w:instrText xml:space="preserve"> PAGEREF _Toc24703 \h </w:instrText>
          </w:r>
          <w:r>
            <w:fldChar w:fldCharType="separate"/>
          </w:r>
          <w:r>
            <w:t>7</w:t>
          </w:r>
          <w:r>
            <w:fldChar w:fldCharType="end"/>
          </w:r>
          <w:r>
            <w:rPr>
              <w:rFonts w:hint="eastAsia" w:ascii="宋体" w:hAnsi="宋体" w:eastAsia="宋体" w:cs="宋体"/>
              <w:szCs w:val="24"/>
            </w:rPr>
            <w:fldChar w:fldCharType="end"/>
          </w:r>
        </w:p>
        <w:p w14:paraId="7AB1E8A8">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_Toc27709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人员管理计划</w:t>
          </w:r>
          <w:r>
            <w:tab/>
          </w:r>
          <w:r>
            <w:fldChar w:fldCharType="begin"/>
          </w:r>
          <w:r>
            <w:instrText xml:space="preserve"> PAGEREF _Toc27709 \h </w:instrText>
          </w:r>
          <w:r>
            <w:fldChar w:fldCharType="separate"/>
          </w:r>
          <w:r>
            <w:t>7</w:t>
          </w:r>
          <w:r>
            <w:fldChar w:fldCharType="end"/>
          </w:r>
          <w:r>
            <w:rPr>
              <w:rFonts w:hint="eastAsia" w:ascii="宋体" w:hAnsi="宋体" w:eastAsia="宋体" w:cs="宋体"/>
              <w:szCs w:val="24"/>
            </w:rPr>
            <w:fldChar w:fldCharType="end"/>
          </w:r>
        </w:p>
        <w:p w14:paraId="6E11373A">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_Toc1678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人员储备管理计划</w:t>
          </w:r>
          <w:r>
            <w:tab/>
          </w:r>
          <w:r>
            <w:fldChar w:fldCharType="begin"/>
          </w:r>
          <w:r>
            <w:instrText xml:space="preserve"> PAGEREF _Toc1678 \h </w:instrText>
          </w:r>
          <w:r>
            <w:fldChar w:fldCharType="separate"/>
          </w:r>
          <w:r>
            <w:t>7</w:t>
          </w:r>
          <w:r>
            <w:fldChar w:fldCharType="end"/>
          </w:r>
          <w:r>
            <w:rPr>
              <w:rFonts w:hint="eastAsia" w:ascii="宋体" w:hAnsi="宋体" w:eastAsia="宋体" w:cs="宋体"/>
              <w:szCs w:val="24"/>
            </w:rPr>
            <w:fldChar w:fldCharType="end"/>
          </w:r>
        </w:p>
        <w:p w14:paraId="0B3B6661">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_Toc21356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人员招聘管理计划</w:t>
          </w:r>
          <w:r>
            <w:tab/>
          </w:r>
          <w:r>
            <w:fldChar w:fldCharType="begin"/>
          </w:r>
          <w:r>
            <w:instrText xml:space="preserve"> PAGEREF _Toc21356 \h </w:instrText>
          </w:r>
          <w:r>
            <w:fldChar w:fldCharType="separate"/>
          </w:r>
          <w:r>
            <w:t>8</w:t>
          </w:r>
          <w:r>
            <w:fldChar w:fldCharType="end"/>
          </w:r>
          <w:r>
            <w:rPr>
              <w:rFonts w:hint="eastAsia" w:ascii="宋体" w:hAnsi="宋体" w:eastAsia="宋体" w:cs="宋体"/>
              <w:szCs w:val="24"/>
            </w:rPr>
            <w:fldChar w:fldCharType="end"/>
          </w:r>
        </w:p>
        <w:p w14:paraId="3C79064B">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_Toc23568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人员备份管理计划</w:t>
          </w:r>
          <w:r>
            <w:tab/>
          </w:r>
          <w:r>
            <w:fldChar w:fldCharType="begin"/>
          </w:r>
          <w:r>
            <w:instrText xml:space="preserve"> PAGEREF _Toc23568 \h </w:instrText>
          </w:r>
          <w:r>
            <w:fldChar w:fldCharType="separate"/>
          </w:r>
          <w:r>
            <w:t>8</w:t>
          </w:r>
          <w:r>
            <w:fldChar w:fldCharType="end"/>
          </w:r>
          <w:r>
            <w:rPr>
              <w:rFonts w:hint="eastAsia" w:ascii="宋体" w:hAnsi="宋体" w:eastAsia="宋体" w:cs="宋体"/>
              <w:szCs w:val="24"/>
            </w:rPr>
            <w:fldChar w:fldCharType="end"/>
          </w:r>
        </w:p>
        <w:p w14:paraId="3760DBFC">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_Toc27741 </w:instrText>
          </w:r>
          <w:r>
            <w:rPr>
              <w:rFonts w:hint="eastAsia" w:ascii="宋体" w:hAnsi="宋体" w:eastAsia="宋体" w:cs="宋体"/>
              <w:szCs w:val="24"/>
            </w:rPr>
            <w:fldChar w:fldCharType="separate"/>
          </w:r>
          <w:r>
            <w:rPr>
              <w:rFonts w:hint="default"/>
              <w:lang w:val="en-US" w:eastAsia="zh-CN"/>
            </w:rPr>
            <w:t xml:space="preserve">2.1.4. </w:t>
          </w:r>
          <w:r>
            <w:rPr>
              <w:rFonts w:hint="eastAsia"/>
              <w:lang w:val="en-US" w:eastAsia="zh-CN"/>
            </w:rPr>
            <w:t>人员培训管理计划</w:t>
          </w:r>
          <w:r>
            <w:tab/>
          </w:r>
          <w:r>
            <w:fldChar w:fldCharType="begin"/>
          </w:r>
          <w:r>
            <w:instrText xml:space="preserve"> PAGEREF _Toc27741 \h </w:instrText>
          </w:r>
          <w:r>
            <w:fldChar w:fldCharType="separate"/>
          </w:r>
          <w:r>
            <w:t>8</w:t>
          </w:r>
          <w:r>
            <w:fldChar w:fldCharType="end"/>
          </w:r>
          <w:r>
            <w:rPr>
              <w:rFonts w:hint="eastAsia" w:ascii="宋体" w:hAnsi="宋体" w:eastAsia="宋体" w:cs="宋体"/>
              <w:szCs w:val="24"/>
            </w:rPr>
            <w:fldChar w:fldCharType="end"/>
          </w:r>
        </w:p>
        <w:p w14:paraId="6D3482DA">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_Toc5373 </w:instrText>
          </w:r>
          <w:r>
            <w:rPr>
              <w:rFonts w:hint="eastAsia" w:ascii="宋体" w:hAnsi="宋体" w:eastAsia="宋体" w:cs="宋体"/>
              <w:szCs w:val="24"/>
            </w:rPr>
            <w:fldChar w:fldCharType="separate"/>
          </w:r>
          <w:r>
            <w:rPr>
              <w:rFonts w:hint="default"/>
              <w:lang w:val="en-US" w:eastAsia="zh-CN"/>
            </w:rPr>
            <w:t xml:space="preserve">2.1.5. </w:t>
          </w:r>
          <w:r>
            <w:rPr>
              <w:rFonts w:hint="eastAsia"/>
              <w:lang w:val="en-US" w:eastAsia="zh-CN"/>
            </w:rPr>
            <w:t>人员绩效考核管理计划</w:t>
          </w:r>
          <w:r>
            <w:tab/>
          </w:r>
          <w:r>
            <w:fldChar w:fldCharType="begin"/>
          </w:r>
          <w:r>
            <w:instrText xml:space="preserve"> PAGEREF _Toc5373 \h </w:instrText>
          </w:r>
          <w:r>
            <w:fldChar w:fldCharType="separate"/>
          </w:r>
          <w:r>
            <w:t>9</w:t>
          </w:r>
          <w:r>
            <w:fldChar w:fldCharType="end"/>
          </w:r>
          <w:r>
            <w:rPr>
              <w:rFonts w:hint="eastAsia" w:ascii="宋体" w:hAnsi="宋体" w:eastAsia="宋体" w:cs="宋体"/>
              <w:szCs w:val="24"/>
            </w:rPr>
            <w:fldChar w:fldCharType="end"/>
          </w:r>
        </w:p>
        <w:p w14:paraId="609B7390">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_Toc17912 </w:instrText>
          </w:r>
          <w:r>
            <w:rPr>
              <w:rFonts w:hint="eastAsia" w:ascii="宋体" w:hAnsi="宋体" w:eastAsia="宋体" w:cs="宋体"/>
              <w:szCs w:val="24"/>
            </w:rPr>
            <w:fldChar w:fldCharType="separate"/>
          </w:r>
          <w:r>
            <w:rPr>
              <w:rFonts w:hint="default"/>
              <w:lang w:val="en-US" w:eastAsia="zh-CN"/>
            </w:rPr>
            <w:t xml:space="preserve">2.1.6. </w:t>
          </w:r>
          <w:r>
            <w:rPr>
              <w:rFonts w:hint="eastAsia"/>
              <w:lang w:val="en-US" w:eastAsia="zh-CN"/>
            </w:rPr>
            <w:t>人员技能评定管理计划</w:t>
          </w:r>
          <w:r>
            <w:tab/>
          </w:r>
          <w:r>
            <w:fldChar w:fldCharType="begin"/>
          </w:r>
          <w:r>
            <w:instrText xml:space="preserve"> PAGEREF _Toc17912 \h </w:instrText>
          </w:r>
          <w:r>
            <w:fldChar w:fldCharType="separate"/>
          </w:r>
          <w:r>
            <w:t>9</w:t>
          </w:r>
          <w:r>
            <w:fldChar w:fldCharType="end"/>
          </w:r>
          <w:r>
            <w:rPr>
              <w:rFonts w:hint="eastAsia" w:ascii="宋体" w:hAnsi="宋体" w:eastAsia="宋体" w:cs="宋体"/>
              <w:szCs w:val="24"/>
            </w:rPr>
            <w:fldChar w:fldCharType="end"/>
          </w:r>
        </w:p>
        <w:p w14:paraId="7F161F60">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_Toc19494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资源管理计划</w:t>
          </w:r>
          <w:r>
            <w:tab/>
          </w:r>
          <w:r>
            <w:fldChar w:fldCharType="begin"/>
          </w:r>
          <w:r>
            <w:instrText xml:space="preserve"> PAGEREF _Toc19494 \h </w:instrText>
          </w:r>
          <w:r>
            <w:fldChar w:fldCharType="separate"/>
          </w:r>
          <w:r>
            <w:t>10</w:t>
          </w:r>
          <w:r>
            <w:fldChar w:fldCharType="end"/>
          </w:r>
          <w:r>
            <w:rPr>
              <w:rFonts w:hint="eastAsia" w:ascii="宋体" w:hAnsi="宋体" w:eastAsia="宋体" w:cs="宋体"/>
              <w:szCs w:val="24"/>
            </w:rPr>
            <w:fldChar w:fldCharType="end"/>
          </w:r>
        </w:p>
        <w:p w14:paraId="0D452D79">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_Toc24877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运维工具管理计划</w:t>
          </w:r>
          <w:r>
            <w:tab/>
          </w:r>
          <w:r>
            <w:fldChar w:fldCharType="begin"/>
          </w:r>
          <w:r>
            <w:instrText xml:space="preserve"> PAGEREF _Toc24877 \h </w:instrText>
          </w:r>
          <w:r>
            <w:fldChar w:fldCharType="separate"/>
          </w:r>
          <w:r>
            <w:t>10</w:t>
          </w:r>
          <w:r>
            <w:fldChar w:fldCharType="end"/>
          </w:r>
          <w:r>
            <w:rPr>
              <w:rFonts w:hint="eastAsia" w:ascii="宋体" w:hAnsi="宋体" w:eastAsia="宋体" w:cs="宋体"/>
              <w:szCs w:val="24"/>
            </w:rPr>
            <w:fldChar w:fldCharType="end"/>
          </w:r>
        </w:p>
        <w:p w14:paraId="047209D7">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_Toc4760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服务台管理计划</w:t>
          </w:r>
          <w:r>
            <w:tab/>
          </w:r>
          <w:r>
            <w:fldChar w:fldCharType="begin"/>
          </w:r>
          <w:r>
            <w:instrText xml:space="preserve"> PAGEREF _Toc4760 \h </w:instrText>
          </w:r>
          <w:r>
            <w:fldChar w:fldCharType="separate"/>
          </w:r>
          <w:r>
            <w:t>10</w:t>
          </w:r>
          <w:r>
            <w:fldChar w:fldCharType="end"/>
          </w:r>
          <w:r>
            <w:rPr>
              <w:rFonts w:hint="eastAsia" w:ascii="宋体" w:hAnsi="宋体" w:eastAsia="宋体" w:cs="宋体"/>
              <w:szCs w:val="24"/>
            </w:rPr>
            <w:fldChar w:fldCharType="end"/>
          </w:r>
        </w:p>
        <w:p w14:paraId="6F0CEC0C">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_Toc14152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服务知识管理计划</w:t>
          </w:r>
          <w:r>
            <w:tab/>
          </w:r>
          <w:r>
            <w:fldChar w:fldCharType="begin"/>
          </w:r>
          <w:r>
            <w:instrText xml:space="preserve"> PAGEREF _Toc14152 \h </w:instrText>
          </w:r>
          <w:r>
            <w:fldChar w:fldCharType="separate"/>
          </w:r>
          <w:r>
            <w:t>10</w:t>
          </w:r>
          <w:r>
            <w:fldChar w:fldCharType="end"/>
          </w:r>
          <w:r>
            <w:rPr>
              <w:rFonts w:hint="eastAsia" w:ascii="宋体" w:hAnsi="宋体" w:eastAsia="宋体" w:cs="宋体"/>
              <w:szCs w:val="24"/>
            </w:rPr>
            <w:fldChar w:fldCharType="end"/>
          </w:r>
        </w:p>
        <w:p w14:paraId="5ACF4B0E">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_Toc16150 </w:instrText>
          </w:r>
          <w:r>
            <w:rPr>
              <w:rFonts w:hint="eastAsia" w:ascii="宋体" w:hAnsi="宋体" w:eastAsia="宋体" w:cs="宋体"/>
              <w:szCs w:val="24"/>
            </w:rPr>
            <w:fldChar w:fldCharType="separate"/>
          </w:r>
          <w:r>
            <w:rPr>
              <w:rFonts w:hint="default"/>
              <w:lang w:val="en-US" w:eastAsia="zh-CN"/>
            </w:rPr>
            <w:t xml:space="preserve">2.2.4. </w:t>
          </w:r>
          <w:r>
            <w:rPr>
              <w:rFonts w:hint="eastAsia"/>
              <w:lang w:val="en-US" w:eastAsia="zh-CN"/>
            </w:rPr>
            <w:t>最终软件库管理计划</w:t>
          </w:r>
          <w:r>
            <w:tab/>
          </w:r>
          <w:r>
            <w:fldChar w:fldCharType="begin"/>
          </w:r>
          <w:r>
            <w:instrText xml:space="preserve"> PAGEREF _Toc16150 \h </w:instrText>
          </w:r>
          <w:r>
            <w:fldChar w:fldCharType="separate"/>
          </w:r>
          <w:r>
            <w:t>11</w:t>
          </w:r>
          <w:r>
            <w:fldChar w:fldCharType="end"/>
          </w:r>
          <w:r>
            <w:rPr>
              <w:rFonts w:hint="eastAsia" w:ascii="宋体" w:hAnsi="宋体" w:eastAsia="宋体" w:cs="宋体"/>
              <w:szCs w:val="24"/>
            </w:rPr>
            <w:fldChar w:fldCharType="end"/>
          </w:r>
        </w:p>
        <w:p w14:paraId="57E4B66C">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_Toc9214 </w:instrText>
          </w:r>
          <w:r>
            <w:rPr>
              <w:rFonts w:hint="eastAsia" w:ascii="宋体" w:hAnsi="宋体" w:eastAsia="宋体" w:cs="宋体"/>
              <w:szCs w:val="24"/>
            </w:rPr>
            <w:fldChar w:fldCharType="separate"/>
          </w:r>
          <w:r>
            <w:rPr>
              <w:rFonts w:hint="default"/>
              <w:lang w:val="en-US" w:eastAsia="zh-CN"/>
            </w:rPr>
            <w:t xml:space="preserve">2.2.5. </w:t>
          </w:r>
          <w:r>
            <w:rPr>
              <w:rFonts w:hint="eastAsia"/>
              <w:lang w:val="en-US" w:eastAsia="zh-CN"/>
            </w:rPr>
            <w:t>服务数据管理计划</w:t>
          </w:r>
          <w:r>
            <w:tab/>
          </w:r>
          <w:r>
            <w:fldChar w:fldCharType="begin"/>
          </w:r>
          <w:r>
            <w:instrText xml:space="preserve"> PAGEREF _Toc9214 \h </w:instrText>
          </w:r>
          <w:r>
            <w:fldChar w:fldCharType="separate"/>
          </w:r>
          <w:r>
            <w:t>11</w:t>
          </w:r>
          <w:r>
            <w:fldChar w:fldCharType="end"/>
          </w:r>
          <w:r>
            <w:rPr>
              <w:rFonts w:hint="eastAsia" w:ascii="宋体" w:hAnsi="宋体" w:eastAsia="宋体" w:cs="宋体"/>
              <w:szCs w:val="24"/>
            </w:rPr>
            <w:fldChar w:fldCharType="end"/>
          </w:r>
        </w:p>
        <w:p w14:paraId="56B72C4B">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_Toc9850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技术管理计划</w:t>
          </w:r>
          <w:r>
            <w:tab/>
          </w:r>
          <w:r>
            <w:fldChar w:fldCharType="begin"/>
          </w:r>
          <w:r>
            <w:instrText xml:space="preserve"> PAGEREF _Toc9850 \h </w:instrText>
          </w:r>
          <w:r>
            <w:fldChar w:fldCharType="separate"/>
          </w:r>
          <w:r>
            <w:t>11</w:t>
          </w:r>
          <w:r>
            <w:fldChar w:fldCharType="end"/>
          </w:r>
          <w:r>
            <w:rPr>
              <w:rFonts w:hint="eastAsia" w:ascii="宋体" w:hAnsi="宋体" w:eastAsia="宋体" w:cs="宋体"/>
              <w:szCs w:val="24"/>
            </w:rPr>
            <w:fldChar w:fldCharType="end"/>
          </w:r>
        </w:p>
        <w:p w14:paraId="488BAD70">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_Toc22744 </w:instrText>
          </w:r>
          <w:r>
            <w:rPr>
              <w:rFonts w:hint="eastAsia" w:ascii="宋体" w:hAnsi="宋体" w:eastAsia="宋体" w:cs="宋体"/>
              <w:szCs w:val="24"/>
            </w:rPr>
            <w:fldChar w:fldCharType="separate"/>
          </w:r>
          <w:r>
            <w:rPr>
              <w:rFonts w:hint="default"/>
              <w:lang w:val="en-US" w:eastAsia="zh-CN"/>
            </w:rPr>
            <w:t xml:space="preserve">2.3.1. </w:t>
          </w:r>
          <w:r>
            <w:rPr>
              <w:rFonts w:hint="eastAsia"/>
              <w:lang w:val="en-US" w:eastAsia="zh-CN"/>
            </w:rPr>
            <w:t>运维工具二次开发</w:t>
          </w:r>
          <w:r>
            <w:tab/>
          </w:r>
          <w:r>
            <w:fldChar w:fldCharType="begin"/>
          </w:r>
          <w:r>
            <w:instrText xml:space="preserve"> PAGEREF _Toc22744 \h </w:instrText>
          </w:r>
          <w:r>
            <w:fldChar w:fldCharType="separate"/>
          </w:r>
          <w:r>
            <w:t>12</w:t>
          </w:r>
          <w:r>
            <w:fldChar w:fldCharType="end"/>
          </w:r>
          <w:r>
            <w:rPr>
              <w:rFonts w:hint="eastAsia" w:ascii="宋体" w:hAnsi="宋体" w:eastAsia="宋体" w:cs="宋体"/>
              <w:szCs w:val="24"/>
            </w:rPr>
            <w:fldChar w:fldCharType="end"/>
          </w:r>
        </w:p>
        <w:p w14:paraId="6CFBDA4D">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_Toc27640 </w:instrText>
          </w:r>
          <w:r>
            <w:rPr>
              <w:rFonts w:hint="eastAsia" w:ascii="宋体" w:hAnsi="宋体" w:eastAsia="宋体" w:cs="宋体"/>
              <w:szCs w:val="24"/>
            </w:rPr>
            <w:fldChar w:fldCharType="separate"/>
          </w:r>
          <w:r>
            <w:rPr>
              <w:rFonts w:hint="default"/>
              <w:lang w:val="en-US" w:eastAsia="zh-CN"/>
            </w:rPr>
            <w:t xml:space="preserve">2.3.2. </w:t>
          </w:r>
          <w:r>
            <w:rPr>
              <w:rFonts w:hint="eastAsia"/>
              <w:lang w:val="en-US" w:eastAsia="zh-CN"/>
            </w:rPr>
            <w:t>运维手册研发</w:t>
          </w:r>
          <w:r>
            <w:tab/>
          </w:r>
          <w:r>
            <w:fldChar w:fldCharType="begin"/>
          </w:r>
          <w:r>
            <w:instrText xml:space="preserve"> PAGEREF _Toc27640 \h </w:instrText>
          </w:r>
          <w:r>
            <w:fldChar w:fldCharType="separate"/>
          </w:r>
          <w:r>
            <w:t>12</w:t>
          </w:r>
          <w:r>
            <w:fldChar w:fldCharType="end"/>
          </w:r>
          <w:r>
            <w:rPr>
              <w:rFonts w:hint="eastAsia" w:ascii="宋体" w:hAnsi="宋体" w:eastAsia="宋体" w:cs="宋体"/>
              <w:szCs w:val="24"/>
            </w:rPr>
            <w:fldChar w:fldCharType="end"/>
          </w:r>
        </w:p>
        <w:p w14:paraId="24EDACCC">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_Toc27868 </w:instrText>
          </w:r>
          <w:r>
            <w:rPr>
              <w:rFonts w:hint="eastAsia" w:ascii="宋体" w:hAnsi="宋体" w:eastAsia="宋体" w:cs="宋体"/>
              <w:szCs w:val="24"/>
            </w:rPr>
            <w:fldChar w:fldCharType="separate"/>
          </w:r>
          <w:r>
            <w:rPr>
              <w:rFonts w:hint="default"/>
              <w:lang w:val="en-US" w:eastAsia="zh-CN"/>
            </w:rPr>
            <w:t xml:space="preserve">2.3.3. </w:t>
          </w:r>
          <w:r>
            <w:rPr>
              <w:rFonts w:hint="eastAsia"/>
              <w:lang w:val="en-US" w:eastAsia="zh-CN"/>
            </w:rPr>
            <w:t>研发团队构成</w:t>
          </w:r>
          <w:r>
            <w:tab/>
          </w:r>
          <w:r>
            <w:fldChar w:fldCharType="begin"/>
          </w:r>
          <w:r>
            <w:instrText xml:space="preserve"> PAGEREF _Toc27868 \h </w:instrText>
          </w:r>
          <w:r>
            <w:fldChar w:fldCharType="separate"/>
          </w:r>
          <w:r>
            <w:t>13</w:t>
          </w:r>
          <w:r>
            <w:fldChar w:fldCharType="end"/>
          </w:r>
          <w:r>
            <w:rPr>
              <w:rFonts w:hint="eastAsia" w:ascii="宋体" w:hAnsi="宋体" w:eastAsia="宋体" w:cs="宋体"/>
              <w:szCs w:val="24"/>
            </w:rPr>
            <w:fldChar w:fldCharType="end"/>
          </w:r>
        </w:p>
        <w:p w14:paraId="303C4E8C">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_Toc20629 </w:instrText>
          </w:r>
          <w:r>
            <w:rPr>
              <w:rFonts w:hint="eastAsia" w:ascii="宋体" w:hAnsi="宋体" w:eastAsia="宋体" w:cs="宋体"/>
              <w:szCs w:val="24"/>
            </w:rPr>
            <w:fldChar w:fldCharType="separate"/>
          </w:r>
          <w:r>
            <w:rPr>
              <w:rFonts w:hint="default"/>
              <w:lang w:val="en-US" w:eastAsia="zh-CN"/>
            </w:rPr>
            <w:t xml:space="preserve">2.3.4. </w:t>
          </w:r>
          <w:r>
            <w:rPr>
              <w:rFonts w:hint="eastAsia"/>
              <w:lang w:val="en-US" w:eastAsia="zh-CN"/>
            </w:rPr>
            <w:t>新技术研发</w:t>
          </w:r>
          <w:r>
            <w:tab/>
          </w:r>
          <w:r>
            <w:fldChar w:fldCharType="begin"/>
          </w:r>
          <w:r>
            <w:instrText xml:space="preserve"> PAGEREF _Toc20629 \h </w:instrText>
          </w:r>
          <w:r>
            <w:fldChar w:fldCharType="separate"/>
          </w:r>
          <w:r>
            <w:t>13</w:t>
          </w:r>
          <w:r>
            <w:fldChar w:fldCharType="end"/>
          </w:r>
          <w:r>
            <w:rPr>
              <w:rFonts w:hint="eastAsia" w:ascii="宋体" w:hAnsi="宋体" w:eastAsia="宋体" w:cs="宋体"/>
              <w:szCs w:val="24"/>
            </w:rPr>
            <w:fldChar w:fldCharType="end"/>
          </w:r>
        </w:p>
        <w:p w14:paraId="0170A21B">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_Toc29355 </w:instrText>
          </w:r>
          <w:r>
            <w:rPr>
              <w:rFonts w:hint="eastAsia" w:ascii="宋体" w:hAnsi="宋体" w:eastAsia="宋体" w:cs="宋体"/>
              <w:szCs w:val="24"/>
            </w:rPr>
            <w:fldChar w:fldCharType="separate"/>
          </w:r>
          <w:r>
            <w:rPr>
              <w:rFonts w:hint="default"/>
              <w:lang w:val="en-US" w:eastAsia="zh-CN"/>
            </w:rPr>
            <w:t xml:space="preserve">2.3.5. </w:t>
          </w:r>
          <w:r>
            <w:rPr>
              <w:rFonts w:hint="eastAsia"/>
              <w:lang w:val="en-US" w:eastAsia="zh-CN"/>
            </w:rPr>
            <w:t>运维经费投入</w:t>
          </w:r>
          <w:r>
            <w:tab/>
          </w:r>
          <w:r>
            <w:fldChar w:fldCharType="begin"/>
          </w:r>
          <w:r>
            <w:instrText xml:space="preserve"> PAGEREF _Toc29355 \h </w:instrText>
          </w:r>
          <w:r>
            <w:fldChar w:fldCharType="separate"/>
          </w:r>
          <w:r>
            <w:t>13</w:t>
          </w:r>
          <w:r>
            <w:fldChar w:fldCharType="end"/>
          </w:r>
          <w:r>
            <w:rPr>
              <w:rFonts w:hint="eastAsia" w:ascii="宋体" w:hAnsi="宋体" w:eastAsia="宋体" w:cs="宋体"/>
              <w:szCs w:val="24"/>
            </w:rPr>
            <w:fldChar w:fldCharType="end"/>
          </w:r>
        </w:p>
        <w:p w14:paraId="4217B09A">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_Toc25433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过程管理计划</w:t>
          </w:r>
          <w:r>
            <w:tab/>
          </w:r>
          <w:r>
            <w:fldChar w:fldCharType="begin"/>
          </w:r>
          <w:r>
            <w:instrText xml:space="preserve"> PAGEREF _Toc25433 \h </w:instrText>
          </w:r>
          <w:r>
            <w:fldChar w:fldCharType="separate"/>
          </w:r>
          <w:r>
            <w:t>14</w:t>
          </w:r>
          <w:r>
            <w:fldChar w:fldCharType="end"/>
          </w:r>
          <w:r>
            <w:rPr>
              <w:rFonts w:hint="eastAsia" w:ascii="宋体" w:hAnsi="宋体" w:eastAsia="宋体" w:cs="宋体"/>
              <w:szCs w:val="24"/>
            </w:rPr>
            <w:fldChar w:fldCharType="end"/>
          </w:r>
        </w:p>
        <w:p w14:paraId="65BBE871">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_Toc4207 </w:instrText>
          </w:r>
          <w:r>
            <w:rPr>
              <w:rFonts w:hint="eastAsia" w:ascii="宋体" w:hAnsi="宋体" w:eastAsia="宋体" w:cs="宋体"/>
              <w:szCs w:val="24"/>
            </w:rPr>
            <w:fldChar w:fldCharType="separate"/>
          </w:r>
          <w:r>
            <w:rPr>
              <w:rFonts w:hint="default"/>
              <w:lang w:val="en-US" w:eastAsia="zh-CN"/>
            </w:rPr>
            <w:t xml:space="preserve">2.4.1. </w:t>
          </w:r>
          <w:r>
            <w:rPr>
              <w:rFonts w:hint="eastAsia"/>
              <w:lang w:val="en-US" w:eastAsia="zh-CN"/>
            </w:rPr>
            <w:t>过程框架管理计划</w:t>
          </w:r>
          <w:r>
            <w:tab/>
          </w:r>
          <w:r>
            <w:fldChar w:fldCharType="begin"/>
          </w:r>
          <w:r>
            <w:instrText xml:space="preserve"> PAGEREF _Toc4207 \h </w:instrText>
          </w:r>
          <w:r>
            <w:fldChar w:fldCharType="separate"/>
          </w:r>
          <w:r>
            <w:t>14</w:t>
          </w:r>
          <w:r>
            <w:fldChar w:fldCharType="end"/>
          </w:r>
          <w:r>
            <w:rPr>
              <w:rFonts w:hint="eastAsia" w:ascii="宋体" w:hAnsi="宋体" w:eastAsia="宋体" w:cs="宋体"/>
              <w:szCs w:val="24"/>
            </w:rPr>
            <w:fldChar w:fldCharType="end"/>
          </w:r>
        </w:p>
        <w:p w14:paraId="1C805D19">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_Toc16383 </w:instrText>
          </w:r>
          <w:r>
            <w:rPr>
              <w:rFonts w:hint="eastAsia" w:ascii="宋体" w:hAnsi="宋体" w:eastAsia="宋体" w:cs="宋体"/>
              <w:szCs w:val="24"/>
            </w:rPr>
            <w:fldChar w:fldCharType="separate"/>
          </w:r>
          <w:r>
            <w:rPr>
              <w:rFonts w:hint="default"/>
              <w:lang w:val="en-US" w:eastAsia="zh-CN"/>
            </w:rPr>
            <w:t xml:space="preserve">2.4.2. </w:t>
          </w:r>
          <w:r>
            <w:rPr>
              <w:rFonts w:hint="eastAsia"/>
              <w:lang w:val="en-US" w:eastAsia="zh-CN"/>
            </w:rPr>
            <w:t>服务级别管理计划</w:t>
          </w:r>
          <w:r>
            <w:tab/>
          </w:r>
          <w:r>
            <w:fldChar w:fldCharType="begin"/>
          </w:r>
          <w:r>
            <w:instrText xml:space="preserve"> PAGEREF _Toc16383 \h </w:instrText>
          </w:r>
          <w:r>
            <w:fldChar w:fldCharType="separate"/>
          </w:r>
          <w:r>
            <w:t>14</w:t>
          </w:r>
          <w:r>
            <w:fldChar w:fldCharType="end"/>
          </w:r>
          <w:r>
            <w:rPr>
              <w:rFonts w:hint="eastAsia" w:ascii="宋体" w:hAnsi="宋体" w:eastAsia="宋体" w:cs="宋体"/>
              <w:szCs w:val="24"/>
            </w:rPr>
            <w:fldChar w:fldCharType="end"/>
          </w:r>
        </w:p>
        <w:p w14:paraId="46DE5805">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_Toc12360 </w:instrText>
          </w:r>
          <w:r>
            <w:rPr>
              <w:rFonts w:hint="eastAsia" w:ascii="宋体" w:hAnsi="宋体" w:eastAsia="宋体" w:cs="宋体"/>
              <w:szCs w:val="24"/>
            </w:rPr>
            <w:fldChar w:fldCharType="separate"/>
          </w:r>
          <w:r>
            <w:rPr>
              <w:rFonts w:hint="default"/>
              <w:lang w:val="en-US" w:eastAsia="zh-CN"/>
            </w:rPr>
            <w:t xml:space="preserve">2.4.3. </w:t>
          </w:r>
          <w:r>
            <w:rPr>
              <w:rFonts w:hint="eastAsia"/>
              <w:lang w:val="en-US" w:eastAsia="zh-CN"/>
            </w:rPr>
            <w:t>服务报告管理计划</w:t>
          </w:r>
          <w:r>
            <w:tab/>
          </w:r>
          <w:r>
            <w:fldChar w:fldCharType="begin"/>
          </w:r>
          <w:r>
            <w:instrText xml:space="preserve"> PAGEREF _Toc12360 \h </w:instrText>
          </w:r>
          <w:r>
            <w:fldChar w:fldCharType="separate"/>
          </w:r>
          <w:r>
            <w:t>14</w:t>
          </w:r>
          <w:r>
            <w:fldChar w:fldCharType="end"/>
          </w:r>
          <w:r>
            <w:rPr>
              <w:rFonts w:hint="eastAsia" w:ascii="宋体" w:hAnsi="宋体" w:eastAsia="宋体" w:cs="宋体"/>
              <w:szCs w:val="24"/>
            </w:rPr>
            <w:fldChar w:fldCharType="end"/>
          </w:r>
        </w:p>
        <w:p w14:paraId="2F421FA7">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_Toc14384 </w:instrText>
          </w:r>
          <w:r>
            <w:rPr>
              <w:rFonts w:hint="eastAsia" w:ascii="宋体" w:hAnsi="宋体" w:eastAsia="宋体" w:cs="宋体"/>
              <w:szCs w:val="24"/>
            </w:rPr>
            <w:fldChar w:fldCharType="separate"/>
          </w:r>
          <w:r>
            <w:rPr>
              <w:rFonts w:hint="default"/>
              <w:lang w:val="en-US" w:eastAsia="zh-CN"/>
            </w:rPr>
            <w:t xml:space="preserve">2.4.4. </w:t>
          </w:r>
          <w:r>
            <w:rPr>
              <w:rFonts w:hint="eastAsia"/>
              <w:lang w:val="en-US" w:eastAsia="zh-CN"/>
            </w:rPr>
            <w:t>事件管理计划</w:t>
          </w:r>
          <w:r>
            <w:tab/>
          </w:r>
          <w:r>
            <w:fldChar w:fldCharType="begin"/>
          </w:r>
          <w:r>
            <w:instrText xml:space="preserve"> PAGEREF _Toc14384 \h </w:instrText>
          </w:r>
          <w:r>
            <w:fldChar w:fldCharType="separate"/>
          </w:r>
          <w:r>
            <w:t>15</w:t>
          </w:r>
          <w:r>
            <w:fldChar w:fldCharType="end"/>
          </w:r>
          <w:r>
            <w:rPr>
              <w:rFonts w:hint="eastAsia" w:ascii="宋体" w:hAnsi="宋体" w:eastAsia="宋体" w:cs="宋体"/>
              <w:szCs w:val="24"/>
            </w:rPr>
            <w:fldChar w:fldCharType="end"/>
          </w:r>
        </w:p>
        <w:p w14:paraId="6FE75D9E">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_Toc21791 </w:instrText>
          </w:r>
          <w:r>
            <w:rPr>
              <w:rFonts w:hint="eastAsia" w:ascii="宋体" w:hAnsi="宋体" w:eastAsia="宋体" w:cs="宋体"/>
              <w:szCs w:val="24"/>
            </w:rPr>
            <w:fldChar w:fldCharType="separate"/>
          </w:r>
          <w:r>
            <w:rPr>
              <w:rFonts w:hint="default"/>
              <w:lang w:val="en-US" w:eastAsia="zh-CN"/>
            </w:rPr>
            <w:t xml:space="preserve">2.4.5. </w:t>
          </w:r>
          <w:r>
            <w:rPr>
              <w:rFonts w:hint="eastAsia"/>
              <w:lang w:val="en-US" w:eastAsia="zh-CN"/>
            </w:rPr>
            <w:t>问题管理计划</w:t>
          </w:r>
          <w:r>
            <w:tab/>
          </w:r>
          <w:r>
            <w:fldChar w:fldCharType="begin"/>
          </w:r>
          <w:r>
            <w:instrText xml:space="preserve"> PAGEREF _Toc21791 \h </w:instrText>
          </w:r>
          <w:r>
            <w:fldChar w:fldCharType="separate"/>
          </w:r>
          <w:r>
            <w:t>15</w:t>
          </w:r>
          <w:r>
            <w:fldChar w:fldCharType="end"/>
          </w:r>
          <w:r>
            <w:rPr>
              <w:rFonts w:hint="eastAsia" w:ascii="宋体" w:hAnsi="宋体" w:eastAsia="宋体" w:cs="宋体"/>
              <w:szCs w:val="24"/>
            </w:rPr>
            <w:fldChar w:fldCharType="end"/>
          </w:r>
        </w:p>
        <w:p w14:paraId="71D665A2">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_Toc25485 </w:instrText>
          </w:r>
          <w:r>
            <w:rPr>
              <w:rFonts w:hint="eastAsia" w:ascii="宋体" w:hAnsi="宋体" w:eastAsia="宋体" w:cs="宋体"/>
              <w:szCs w:val="24"/>
            </w:rPr>
            <w:fldChar w:fldCharType="separate"/>
          </w:r>
          <w:r>
            <w:rPr>
              <w:rFonts w:hint="default"/>
              <w:lang w:val="en-US" w:eastAsia="zh-CN"/>
            </w:rPr>
            <w:t xml:space="preserve">2.4.6. </w:t>
          </w:r>
          <w:r>
            <w:rPr>
              <w:rFonts w:hint="eastAsia"/>
              <w:lang w:val="en-US" w:eastAsia="zh-CN"/>
            </w:rPr>
            <w:t>变更管理计划</w:t>
          </w:r>
          <w:r>
            <w:tab/>
          </w:r>
          <w:r>
            <w:fldChar w:fldCharType="begin"/>
          </w:r>
          <w:r>
            <w:instrText xml:space="preserve"> PAGEREF _Toc25485 \h </w:instrText>
          </w:r>
          <w:r>
            <w:fldChar w:fldCharType="separate"/>
          </w:r>
          <w:r>
            <w:t>15</w:t>
          </w:r>
          <w:r>
            <w:fldChar w:fldCharType="end"/>
          </w:r>
          <w:r>
            <w:rPr>
              <w:rFonts w:hint="eastAsia" w:ascii="宋体" w:hAnsi="宋体" w:eastAsia="宋体" w:cs="宋体"/>
              <w:szCs w:val="24"/>
            </w:rPr>
            <w:fldChar w:fldCharType="end"/>
          </w:r>
        </w:p>
        <w:p w14:paraId="2C6C205C">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_Toc16131 </w:instrText>
          </w:r>
          <w:r>
            <w:rPr>
              <w:rFonts w:hint="eastAsia" w:ascii="宋体" w:hAnsi="宋体" w:eastAsia="宋体" w:cs="宋体"/>
              <w:szCs w:val="24"/>
            </w:rPr>
            <w:fldChar w:fldCharType="separate"/>
          </w:r>
          <w:r>
            <w:rPr>
              <w:rFonts w:hint="default"/>
              <w:lang w:val="en-US" w:eastAsia="zh-CN"/>
            </w:rPr>
            <w:t xml:space="preserve">2.4.7. </w:t>
          </w:r>
          <w:r>
            <w:rPr>
              <w:rFonts w:hint="eastAsia"/>
              <w:lang w:val="en-US" w:eastAsia="zh-CN"/>
            </w:rPr>
            <w:t>发布管理计划</w:t>
          </w:r>
          <w:r>
            <w:tab/>
          </w:r>
          <w:r>
            <w:fldChar w:fldCharType="begin"/>
          </w:r>
          <w:r>
            <w:instrText xml:space="preserve"> PAGEREF _Toc16131 \h </w:instrText>
          </w:r>
          <w:r>
            <w:fldChar w:fldCharType="separate"/>
          </w:r>
          <w:r>
            <w:t>15</w:t>
          </w:r>
          <w:r>
            <w:fldChar w:fldCharType="end"/>
          </w:r>
          <w:r>
            <w:rPr>
              <w:rFonts w:hint="eastAsia" w:ascii="宋体" w:hAnsi="宋体" w:eastAsia="宋体" w:cs="宋体"/>
              <w:szCs w:val="24"/>
            </w:rPr>
            <w:fldChar w:fldCharType="end"/>
          </w:r>
        </w:p>
        <w:p w14:paraId="60D73484">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_Toc13587 </w:instrText>
          </w:r>
          <w:r>
            <w:rPr>
              <w:rFonts w:hint="eastAsia" w:ascii="宋体" w:hAnsi="宋体" w:eastAsia="宋体" w:cs="宋体"/>
              <w:szCs w:val="24"/>
            </w:rPr>
            <w:fldChar w:fldCharType="separate"/>
          </w:r>
          <w:r>
            <w:rPr>
              <w:rFonts w:hint="default"/>
              <w:lang w:val="en-US" w:eastAsia="zh-CN"/>
            </w:rPr>
            <w:t xml:space="preserve">2.4.8. </w:t>
          </w:r>
          <w:r>
            <w:rPr>
              <w:rFonts w:hint="eastAsia"/>
              <w:lang w:val="en-US" w:eastAsia="zh-CN"/>
            </w:rPr>
            <w:t>配置管理计划</w:t>
          </w:r>
          <w:r>
            <w:tab/>
          </w:r>
          <w:r>
            <w:fldChar w:fldCharType="begin"/>
          </w:r>
          <w:r>
            <w:instrText xml:space="preserve"> PAGEREF _Toc13587 \h </w:instrText>
          </w:r>
          <w:r>
            <w:fldChar w:fldCharType="separate"/>
          </w:r>
          <w:r>
            <w:t>15</w:t>
          </w:r>
          <w:r>
            <w:fldChar w:fldCharType="end"/>
          </w:r>
          <w:r>
            <w:rPr>
              <w:rFonts w:hint="eastAsia" w:ascii="宋体" w:hAnsi="宋体" w:eastAsia="宋体" w:cs="宋体"/>
              <w:szCs w:val="24"/>
            </w:rPr>
            <w:fldChar w:fldCharType="end"/>
          </w:r>
        </w:p>
        <w:p w14:paraId="1A92B3AE">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_Toc9083 </w:instrText>
          </w:r>
          <w:r>
            <w:rPr>
              <w:rFonts w:hint="eastAsia" w:ascii="宋体" w:hAnsi="宋体" w:eastAsia="宋体" w:cs="宋体"/>
              <w:szCs w:val="24"/>
            </w:rPr>
            <w:fldChar w:fldCharType="separate"/>
          </w:r>
          <w:r>
            <w:rPr>
              <w:rFonts w:hint="default"/>
              <w:lang w:val="en-US" w:eastAsia="zh-CN"/>
            </w:rPr>
            <w:t xml:space="preserve">2.4.9. </w:t>
          </w:r>
          <w:r>
            <w:rPr>
              <w:rFonts w:hint="eastAsia"/>
              <w:lang w:val="en-US" w:eastAsia="zh-CN"/>
            </w:rPr>
            <w:t>服务可用性和连续性管理计划</w:t>
          </w:r>
          <w:r>
            <w:tab/>
          </w:r>
          <w:r>
            <w:fldChar w:fldCharType="begin"/>
          </w:r>
          <w:r>
            <w:instrText xml:space="preserve"> PAGEREF _Toc9083 \h </w:instrText>
          </w:r>
          <w:r>
            <w:fldChar w:fldCharType="separate"/>
          </w:r>
          <w:r>
            <w:t>16</w:t>
          </w:r>
          <w:r>
            <w:fldChar w:fldCharType="end"/>
          </w:r>
          <w:r>
            <w:rPr>
              <w:rFonts w:hint="eastAsia" w:ascii="宋体" w:hAnsi="宋体" w:eastAsia="宋体" w:cs="宋体"/>
              <w:szCs w:val="24"/>
            </w:rPr>
            <w:fldChar w:fldCharType="end"/>
          </w:r>
        </w:p>
        <w:p w14:paraId="108A6D9C">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_Toc26787 </w:instrText>
          </w:r>
          <w:r>
            <w:rPr>
              <w:rFonts w:hint="eastAsia" w:ascii="宋体" w:hAnsi="宋体" w:eastAsia="宋体" w:cs="宋体"/>
              <w:szCs w:val="24"/>
            </w:rPr>
            <w:fldChar w:fldCharType="separate"/>
          </w:r>
          <w:r>
            <w:rPr>
              <w:rFonts w:hint="default"/>
              <w:lang w:val="en-US" w:eastAsia="zh-CN"/>
            </w:rPr>
            <w:t xml:space="preserve">2.4.10. </w:t>
          </w:r>
          <w:r>
            <w:rPr>
              <w:rFonts w:hint="eastAsia"/>
              <w:lang w:val="en-US" w:eastAsia="zh-CN"/>
            </w:rPr>
            <w:t>容量管理计划</w:t>
          </w:r>
          <w:r>
            <w:tab/>
          </w:r>
          <w:r>
            <w:fldChar w:fldCharType="begin"/>
          </w:r>
          <w:r>
            <w:instrText xml:space="preserve"> PAGEREF _Toc26787 \h </w:instrText>
          </w:r>
          <w:r>
            <w:fldChar w:fldCharType="separate"/>
          </w:r>
          <w:r>
            <w:t>16</w:t>
          </w:r>
          <w:r>
            <w:fldChar w:fldCharType="end"/>
          </w:r>
          <w:r>
            <w:rPr>
              <w:rFonts w:hint="eastAsia" w:ascii="宋体" w:hAnsi="宋体" w:eastAsia="宋体" w:cs="宋体"/>
              <w:szCs w:val="24"/>
            </w:rPr>
            <w:fldChar w:fldCharType="end"/>
          </w:r>
        </w:p>
        <w:p w14:paraId="1EA136ED">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_Toc8573 </w:instrText>
          </w:r>
          <w:r>
            <w:rPr>
              <w:rFonts w:hint="eastAsia" w:ascii="宋体" w:hAnsi="宋体" w:eastAsia="宋体" w:cs="宋体"/>
              <w:szCs w:val="24"/>
            </w:rPr>
            <w:fldChar w:fldCharType="separate"/>
          </w:r>
          <w:r>
            <w:rPr>
              <w:rFonts w:hint="default"/>
              <w:lang w:val="en-US" w:eastAsia="zh-CN"/>
            </w:rPr>
            <w:t xml:space="preserve">2.4.11. </w:t>
          </w:r>
          <w:r>
            <w:rPr>
              <w:rFonts w:hint="eastAsia"/>
              <w:lang w:val="en-US" w:eastAsia="zh-CN"/>
            </w:rPr>
            <w:t>信息安全管理计划</w:t>
          </w:r>
          <w:r>
            <w:tab/>
          </w:r>
          <w:r>
            <w:fldChar w:fldCharType="begin"/>
          </w:r>
          <w:r>
            <w:instrText xml:space="preserve"> PAGEREF _Toc8573 \h </w:instrText>
          </w:r>
          <w:r>
            <w:fldChar w:fldCharType="separate"/>
          </w:r>
          <w:r>
            <w:t>16</w:t>
          </w:r>
          <w:r>
            <w:fldChar w:fldCharType="end"/>
          </w:r>
          <w:r>
            <w:rPr>
              <w:rFonts w:hint="eastAsia" w:ascii="宋体" w:hAnsi="宋体" w:eastAsia="宋体" w:cs="宋体"/>
              <w:szCs w:val="24"/>
            </w:rPr>
            <w:fldChar w:fldCharType="end"/>
          </w:r>
        </w:p>
        <w:p w14:paraId="33FD9558">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_Toc29099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交付管理计划</w:t>
          </w:r>
          <w:r>
            <w:tab/>
          </w:r>
          <w:r>
            <w:fldChar w:fldCharType="begin"/>
          </w:r>
          <w:r>
            <w:instrText xml:space="preserve"> PAGEREF _Toc29099 \h </w:instrText>
          </w:r>
          <w:r>
            <w:fldChar w:fldCharType="separate"/>
          </w:r>
          <w:r>
            <w:t>16</w:t>
          </w:r>
          <w:r>
            <w:fldChar w:fldCharType="end"/>
          </w:r>
          <w:r>
            <w:rPr>
              <w:rFonts w:hint="eastAsia" w:ascii="宋体" w:hAnsi="宋体" w:eastAsia="宋体" w:cs="宋体"/>
              <w:szCs w:val="24"/>
            </w:rPr>
            <w:fldChar w:fldCharType="end"/>
          </w:r>
        </w:p>
        <w:p w14:paraId="0494C52F">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_Toc5596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应急管理计划</w:t>
          </w:r>
          <w:r>
            <w:tab/>
          </w:r>
          <w:r>
            <w:fldChar w:fldCharType="begin"/>
          </w:r>
          <w:r>
            <w:instrText xml:space="preserve"> PAGEREF _Toc5596 \h </w:instrText>
          </w:r>
          <w:r>
            <w:fldChar w:fldCharType="separate"/>
          </w:r>
          <w:r>
            <w:t>16</w:t>
          </w:r>
          <w:r>
            <w:fldChar w:fldCharType="end"/>
          </w:r>
          <w:r>
            <w:rPr>
              <w:rFonts w:hint="eastAsia" w:ascii="宋体" w:hAnsi="宋体" w:eastAsia="宋体" w:cs="宋体"/>
              <w:szCs w:val="24"/>
            </w:rPr>
            <w:fldChar w:fldCharType="end"/>
          </w:r>
        </w:p>
        <w:p w14:paraId="5394D5F5">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_Toc7242 </w:instrText>
          </w:r>
          <w:r>
            <w:rPr>
              <w:rFonts w:hint="eastAsia" w:ascii="宋体" w:hAnsi="宋体" w:eastAsia="宋体" w:cs="宋体"/>
              <w:szCs w:val="24"/>
            </w:rPr>
            <w:fldChar w:fldCharType="separate"/>
          </w:r>
          <w:r>
            <w:rPr>
              <w:rFonts w:hint="default"/>
              <w:lang w:val="en-US" w:eastAsia="zh-CN"/>
            </w:rPr>
            <w:t xml:space="preserve">2.7. </w:t>
          </w:r>
          <w:r>
            <w:rPr>
              <w:rFonts w:hint="eastAsia"/>
              <w:lang w:val="en-US" w:eastAsia="zh-CN"/>
            </w:rPr>
            <w:t>质量管理计划</w:t>
          </w:r>
          <w:r>
            <w:tab/>
          </w:r>
          <w:r>
            <w:fldChar w:fldCharType="begin"/>
          </w:r>
          <w:r>
            <w:instrText xml:space="preserve"> PAGEREF _Toc7242 \h </w:instrText>
          </w:r>
          <w:r>
            <w:fldChar w:fldCharType="separate"/>
          </w:r>
          <w:r>
            <w:t>17</w:t>
          </w:r>
          <w:r>
            <w:fldChar w:fldCharType="end"/>
          </w:r>
          <w:r>
            <w:rPr>
              <w:rFonts w:hint="eastAsia" w:ascii="宋体" w:hAnsi="宋体" w:eastAsia="宋体" w:cs="宋体"/>
              <w:szCs w:val="24"/>
            </w:rPr>
            <w:fldChar w:fldCharType="end"/>
          </w:r>
        </w:p>
        <w:p w14:paraId="41A200A7">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_Toc23662 </w:instrText>
          </w:r>
          <w:r>
            <w:rPr>
              <w:rFonts w:hint="eastAsia" w:ascii="宋体" w:hAnsi="宋体" w:eastAsia="宋体" w:cs="宋体"/>
              <w:szCs w:val="24"/>
            </w:rPr>
            <w:fldChar w:fldCharType="separate"/>
          </w:r>
          <w:r>
            <w:rPr>
              <w:rFonts w:hint="default"/>
              <w:lang w:val="en-US" w:eastAsia="zh-CN"/>
            </w:rPr>
            <w:t xml:space="preserve">2.7.1. </w:t>
          </w:r>
          <w:r>
            <w:rPr>
              <w:rFonts w:hint="eastAsia"/>
              <w:lang w:val="en-US" w:eastAsia="zh-CN"/>
            </w:rPr>
            <w:t>内审</w:t>
          </w:r>
          <w:r>
            <w:tab/>
          </w:r>
          <w:r>
            <w:fldChar w:fldCharType="begin"/>
          </w:r>
          <w:r>
            <w:instrText xml:space="preserve"> PAGEREF _Toc23662 \h </w:instrText>
          </w:r>
          <w:r>
            <w:fldChar w:fldCharType="separate"/>
          </w:r>
          <w:r>
            <w:t>17</w:t>
          </w:r>
          <w:r>
            <w:fldChar w:fldCharType="end"/>
          </w:r>
          <w:r>
            <w:rPr>
              <w:rFonts w:hint="eastAsia" w:ascii="宋体" w:hAnsi="宋体" w:eastAsia="宋体" w:cs="宋体"/>
              <w:szCs w:val="24"/>
            </w:rPr>
            <w:fldChar w:fldCharType="end"/>
          </w:r>
        </w:p>
        <w:p w14:paraId="5ABBD89E">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_Toc23654 </w:instrText>
          </w:r>
          <w:r>
            <w:rPr>
              <w:rFonts w:hint="eastAsia" w:ascii="宋体" w:hAnsi="宋体" w:eastAsia="宋体" w:cs="宋体"/>
              <w:szCs w:val="24"/>
            </w:rPr>
            <w:fldChar w:fldCharType="separate"/>
          </w:r>
          <w:r>
            <w:rPr>
              <w:rFonts w:hint="default"/>
              <w:lang w:val="en-US" w:eastAsia="zh-CN"/>
            </w:rPr>
            <w:t xml:space="preserve">2.7.2. </w:t>
          </w:r>
          <w:r>
            <w:rPr>
              <w:rFonts w:hint="eastAsia"/>
              <w:lang w:val="en-US" w:eastAsia="zh-CN"/>
            </w:rPr>
            <w:t>管评</w:t>
          </w:r>
          <w:r>
            <w:tab/>
          </w:r>
          <w:r>
            <w:fldChar w:fldCharType="begin"/>
          </w:r>
          <w:r>
            <w:instrText xml:space="preserve"> PAGEREF _Toc23654 \h </w:instrText>
          </w:r>
          <w:r>
            <w:fldChar w:fldCharType="separate"/>
          </w:r>
          <w:r>
            <w:t>17</w:t>
          </w:r>
          <w:r>
            <w:fldChar w:fldCharType="end"/>
          </w:r>
          <w:r>
            <w:rPr>
              <w:rFonts w:hint="eastAsia" w:ascii="宋体" w:hAnsi="宋体" w:eastAsia="宋体" w:cs="宋体"/>
              <w:szCs w:val="24"/>
            </w:rPr>
            <w:fldChar w:fldCharType="end"/>
          </w:r>
        </w:p>
        <w:p w14:paraId="1B86E1A1">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_Toc11077 </w:instrText>
          </w:r>
          <w:r>
            <w:rPr>
              <w:rFonts w:hint="eastAsia" w:ascii="宋体" w:hAnsi="宋体" w:eastAsia="宋体" w:cs="宋体"/>
              <w:szCs w:val="24"/>
            </w:rPr>
            <w:fldChar w:fldCharType="separate"/>
          </w:r>
          <w:r>
            <w:rPr>
              <w:rFonts w:hint="default"/>
              <w:lang w:val="en-US" w:eastAsia="zh-CN"/>
            </w:rPr>
            <w:t xml:space="preserve">2.7.3. </w:t>
          </w:r>
          <w:r>
            <w:rPr>
              <w:rFonts w:hint="eastAsia"/>
              <w:lang w:val="en-US" w:eastAsia="zh-CN"/>
            </w:rPr>
            <w:t>客户满意度</w:t>
          </w:r>
          <w:r>
            <w:tab/>
          </w:r>
          <w:r>
            <w:fldChar w:fldCharType="begin"/>
          </w:r>
          <w:r>
            <w:instrText xml:space="preserve"> PAGEREF _Toc11077 \h </w:instrText>
          </w:r>
          <w:r>
            <w:fldChar w:fldCharType="separate"/>
          </w:r>
          <w:r>
            <w:t>17</w:t>
          </w:r>
          <w:r>
            <w:fldChar w:fldCharType="end"/>
          </w:r>
          <w:r>
            <w:rPr>
              <w:rFonts w:hint="eastAsia" w:ascii="宋体" w:hAnsi="宋体" w:eastAsia="宋体" w:cs="宋体"/>
              <w:szCs w:val="24"/>
            </w:rPr>
            <w:fldChar w:fldCharType="end"/>
          </w:r>
        </w:p>
        <w:p w14:paraId="60089CD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02CB4B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827D79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6353"/>
      <w:r>
        <w:rPr>
          <w:rFonts w:hint="eastAsia"/>
          <w:lang w:val="en-US" w:eastAsia="zh-CN"/>
        </w:rPr>
        <w:t>背景概况</w:t>
      </w:r>
      <w:bookmarkEnd w:id="3"/>
    </w:p>
    <w:p w14:paraId="5571511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7919"/>
      <w:r>
        <w:rPr>
          <w:rFonts w:hint="eastAsia"/>
          <w:lang w:val="en-US" w:eastAsia="zh-CN"/>
        </w:rPr>
        <w:t>核心目标</w:t>
      </w:r>
      <w:bookmarkEnd w:id="4"/>
    </w:p>
    <w:p w14:paraId="5D7601F5">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业务拓展：在2024年的基础上，全面新增签订长期合同3-5个。</w:t>
      </w:r>
    </w:p>
    <w:p w14:paraId="629F73FB">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收入目标：全年运维合同总额较2024年提升约10%,实现稳健规模化增长。</w:t>
      </w:r>
    </w:p>
    <w:p w14:paraId="0DDC237A">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服务深化与价值提升：</w:t>
      </w:r>
    </w:p>
    <w:p w14:paraId="012A57EB">
      <w:pPr>
        <w:pStyle w:val="29"/>
        <w:keepNext w:val="0"/>
        <w:keepLines w:val="0"/>
        <w:pageBreakBefore w:val="0"/>
        <w:widowControl w:val="0"/>
        <w:numPr>
          <w:ilvl w:val="0"/>
          <w:numId w:val="3"/>
        </w:numPr>
        <w:tabs>
          <w:tab w:val="clear" w:pos="420"/>
        </w:tabs>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eastAsia"/>
          <w:lang w:val="en-US" w:eastAsia="zh-CN"/>
        </w:rPr>
        <w:t>实现至少2个核心客户续约</w:t>
      </w:r>
    </w:p>
    <w:p w14:paraId="717A3BCA">
      <w:pPr>
        <w:pStyle w:val="29"/>
        <w:keepNext w:val="0"/>
        <w:keepLines w:val="0"/>
        <w:pageBreakBefore w:val="0"/>
        <w:widowControl w:val="0"/>
        <w:numPr>
          <w:ilvl w:val="0"/>
          <w:numId w:val="3"/>
        </w:numPr>
        <w:tabs>
          <w:tab w:val="clear" w:pos="420"/>
        </w:tabs>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eastAsia"/>
          <w:lang w:val="en-US" w:eastAsia="zh-CN"/>
        </w:rPr>
        <w:t>客户满意度调查得分不能低于90%</w:t>
      </w:r>
    </w:p>
    <w:p w14:paraId="1C676DA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534"/>
      <w:r>
        <w:rPr>
          <w:rFonts w:hint="eastAsia"/>
          <w:lang w:val="en-US" w:eastAsia="zh-CN"/>
        </w:rPr>
        <w:t>公司沿革与核心优势</w:t>
      </w:r>
      <w:bookmarkEnd w:id="5"/>
    </w:p>
    <w:p w14:paraId="76D32F2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桐乡华数广电网络有限公司（以下简称“公司”）作为桐乡市信息化建设的重要力量，始终致力于为政府、企事业单位及公众提供优质、高效的信息技术服务。</w:t>
      </w:r>
    </w:p>
    <w:p w14:paraId="2D2B30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自成立以来，我司紧跟国家信息化发展战略，历经从传统广电网络运营商向智慧广电综合运营服务商的战略转型。公司依托华数集团“网络智能化、业务融合化、产业生态化”的战略指引，全面推进桐乡市数字化、网络化、智能化建设。在“数字桐乡”、“雪亮工程”及智慧城市等重大项目中，我司不仅承担了基础网络建设任务，更通过引入ITIL/ITSS等先进管理理念，建立了专业的运维服务体系，实现了从“被动响应”向“主动预防、快速恢复”的运维模式转变。</w:t>
      </w:r>
    </w:p>
    <w:p w14:paraId="12FA76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服务能力建设方面，我司于2022年6月开始对标国家信息技术服务标准（ITSS），设立了独立的运维相关部门，梳理并发布了组织级服务目录，建立了包含服务台、服务知识、备件库及容量规划的标准化运维管理体系。通过持续的体系优化与人才培养，公司现拥有一支技术过硬、经验丰富的运维服务团队，具备承接大型政企客户IT系统及安防系统全生命周期运维管理的能力。</w:t>
      </w:r>
    </w:p>
    <w:p w14:paraId="10DE736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7404"/>
      <w:bookmarkStart w:id="7" w:name="_Toc8160"/>
      <w:r>
        <w:rPr>
          <w:rFonts w:hint="eastAsia"/>
          <w:lang w:val="en-US" w:eastAsia="zh-CN"/>
        </w:rPr>
        <w:t>人力资源配置</w:t>
      </w:r>
      <w:bookmarkEnd w:id="6"/>
      <w:bookmarkEnd w:id="7"/>
    </w:p>
    <w:p w14:paraId="114D9D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当前运维团队已初步构建涵盖一线服务、技术支撑及管理协调的基本架构，能够满足现阶段业务运营需求。但随着运维服务范围的拓展与深度要求的提升，现有团队在技术能力与专业储备方面面临持续挑战。为支撑公司服务能力的系统性提升、保障业务规模的有序扩张</w:t>
      </w:r>
      <w:r>
        <w:rPr>
          <w:rFonts w:hint="eastAsia"/>
          <w:lang w:val="en-US" w:eastAsia="zh-CN"/>
        </w:rPr>
        <w:t>。</w:t>
      </w:r>
      <w:r>
        <w:rPr>
          <w:rFonts w:hint="default"/>
          <w:lang w:val="en-US" w:eastAsia="zh-CN"/>
        </w:rPr>
        <w:t>公司已制定明确的人力资源发展计划。</w:t>
      </w:r>
    </w:p>
    <w:p w14:paraId="44F5AB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在一年内，通过定向引入具备专业运维经验的技术人才，持续优化团队结构，增强现场服务响应与核心技术攻关能力。同时，公司将建立完善的关键岗位储备机制，确保核心职能具备充分的岗位备份与技能冗余，逐步构建一支结构合理、能力全面、支撑有力的专业化运维团队，为公司长期发展提供坚实的人才保障。</w:t>
      </w:r>
    </w:p>
    <w:p w14:paraId="06A77FD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6478"/>
      <w:r>
        <w:rPr>
          <w:rFonts w:hint="eastAsia"/>
          <w:lang w:val="en-US" w:eastAsia="zh-CN"/>
        </w:rPr>
        <w:t>运维保障提升</w:t>
      </w:r>
      <w:bookmarkEnd w:id="8"/>
    </w:p>
    <w:p w14:paraId="1805E44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15249"/>
      <w:r>
        <w:rPr>
          <w:rFonts w:hint="eastAsia"/>
          <w:lang w:val="en-US" w:eastAsia="zh-CN"/>
        </w:rPr>
        <w:t>服务台</w:t>
      </w:r>
      <w:bookmarkEnd w:id="9"/>
    </w:p>
    <w:p w14:paraId="4EA809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公司已建成统一服务台，全面承接客户服务请求，确保每项需求得到及时、规范的响应与处理，显著提升服务感知与客户满意度。后续，运维部将持续深化服务台能力建设，重点推动技术赋能与服务流程优化，着力提升在线直接解决率，减少工单流转层级与转派耗时，以更敏捷、高效的方式支撑一线业务运营，为客户提供更优质、连贯的服务体验。</w:t>
      </w:r>
    </w:p>
    <w:p w14:paraId="56F4C5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2289"/>
      <w:r>
        <w:rPr>
          <w:rFonts w:hint="eastAsia"/>
          <w:lang w:val="en-US" w:eastAsia="zh-CN"/>
        </w:rPr>
        <w:t>运维工具</w:t>
      </w:r>
      <w:bookmarkEnd w:id="10"/>
    </w:p>
    <w:p w14:paraId="23BF7B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过程管理工具方面，公司已部署通服信息化服务平台和运维安全与数据库审计管控平台，运维部及相关团队均已完成培训并熟练使用，有效实现了任务协同、过程跟踪与业务数据的集中采集与分析。未来，研发部将持续负责该平台的功能优化与迭代升级，并将结合运维部在实际使用中提出的反馈与建议，纳入年度研发计划中，确保工具能力与业务发展同步演进，进一步提升运维管理效率与数据支撑能力。</w:t>
      </w:r>
    </w:p>
    <w:p w14:paraId="7865B3B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9445"/>
      <w:r>
        <w:rPr>
          <w:rFonts w:hint="eastAsia"/>
          <w:lang w:val="en-US" w:eastAsia="zh-CN"/>
        </w:rPr>
        <w:t>服务知识</w:t>
      </w:r>
      <w:bookmarkEnd w:id="11"/>
    </w:p>
    <w:p w14:paraId="083B8C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持续提升服务质量并支持公司档案存储业务的拓展，运维部将联合研发部对现有《服务知识管理制度》进行全面梳理与优化，推动服务实践经验的系统性沉淀与知识资产化。质量管理部将负责监督该制度在业务中的落地执行与效果评估，确保其有效支撑服务过程。</w:t>
      </w:r>
    </w:p>
    <w:p w14:paraId="4FE309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同时，人力资源部将协同开展专项能力培训，并适时引入具备相关经验的专业人才，通过人员能力、管理流程与平台工具三者的有机结合，共同保障数据中心运维管理服务项目的高质量交付与服务水平的持续提升。</w:t>
      </w:r>
    </w:p>
    <w:p w14:paraId="0E9A4A4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4703"/>
      <w:r>
        <w:rPr>
          <w:rFonts w:hint="eastAsia"/>
          <w:lang w:val="en-US" w:eastAsia="zh-CN"/>
        </w:rPr>
        <w:t>运维服务能力管理计划</w:t>
      </w:r>
      <w:bookmarkEnd w:id="12"/>
    </w:p>
    <w:p w14:paraId="37B4956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0440"/>
      <w:bookmarkStart w:id="14" w:name="_Toc27709"/>
      <w:r>
        <w:rPr>
          <w:rFonts w:hint="eastAsia"/>
          <w:lang w:val="en-US" w:eastAsia="zh-CN"/>
        </w:rPr>
        <w:t>人员管理计划</w:t>
      </w:r>
      <w:bookmarkEnd w:id="13"/>
      <w:bookmarkEnd w:id="14"/>
    </w:p>
    <w:p w14:paraId="3196FCD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678"/>
      <w:bookmarkStart w:id="16" w:name="_Toc25581"/>
      <w:r>
        <w:rPr>
          <w:rFonts w:hint="eastAsia"/>
          <w:lang w:val="en-US" w:eastAsia="zh-CN"/>
        </w:rPr>
        <w:t>人员储备管理计划</w:t>
      </w:r>
      <w:bookmarkEnd w:id="15"/>
    </w:p>
    <w:p w14:paraId="618184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三项识别原则，识别出关键岗位为运维部经理、研发部经理、质量管理部经理。根据以上三个关键岗位，结合储备人员选拔标准，决定进行内部储备，制定如下的储备计划：</w:t>
      </w:r>
    </w:p>
    <w:tbl>
      <w:tblPr>
        <w:tblStyle w:val="21"/>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2957"/>
        <w:gridCol w:w="1511"/>
        <w:gridCol w:w="1511"/>
        <w:gridCol w:w="1511"/>
      </w:tblGrid>
      <w:tr w14:paraId="6031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030" w:type="dxa"/>
            <w:vAlign w:val="center"/>
          </w:tcPr>
          <w:p w14:paraId="63A6306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2957" w:type="dxa"/>
            <w:vAlign w:val="center"/>
          </w:tcPr>
          <w:p w14:paraId="4D81E1F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11" w:type="dxa"/>
            <w:vAlign w:val="center"/>
          </w:tcPr>
          <w:p w14:paraId="271EA1A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储备人数</w:t>
            </w:r>
          </w:p>
        </w:tc>
        <w:tc>
          <w:tcPr>
            <w:tcW w:w="1511" w:type="dxa"/>
            <w:vAlign w:val="center"/>
          </w:tcPr>
          <w:p w14:paraId="41CAB57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储备来源</w:t>
            </w:r>
          </w:p>
        </w:tc>
        <w:tc>
          <w:tcPr>
            <w:tcW w:w="1511" w:type="dxa"/>
            <w:vAlign w:val="center"/>
          </w:tcPr>
          <w:p w14:paraId="21F3CAB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6FE9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090D4B2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179E191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运维部经理</w:t>
            </w:r>
          </w:p>
        </w:tc>
        <w:tc>
          <w:tcPr>
            <w:tcW w:w="1511" w:type="dxa"/>
            <w:vAlign w:val="center"/>
          </w:tcPr>
          <w:p w14:paraId="23653D4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2人</w:t>
            </w:r>
          </w:p>
        </w:tc>
        <w:tc>
          <w:tcPr>
            <w:tcW w:w="1511" w:type="dxa"/>
            <w:vAlign w:val="center"/>
          </w:tcPr>
          <w:p w14:paraId="6743EEC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004406E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2025年3月</w:t>
            </w:r>
          </w:p>
        </w:tc>
      </w:tr>
      <w:tr w14:paraId="2019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74A0B3F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0936992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研发部经理</w:t>
            </w:r>
          </w:p>
        </w:tc>
        <w:tc>
          <w:tcPr>
            <w:tcW w:w="1511" w:type="dxa"/>
            <w:vAlign w:val="center"/>
          </w:tcPr>
          <w:p w14:paraId="02C6DEF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0B417AA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551D012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2025年4月</w:t>
            </w:r>
          </w:p>
        </w:tc>
      </w:tr>
      <w:tr w14:paraId="6952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7D21B8A3">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164A5DF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质量管理部经理</w:t>
            </w:r>
          </w:p>
        </w:tc>
        <w:tc>
          <w:tcPr>
            <w:tcW w:w="1511" w:type="dxa"/>
            <w:vAlign w:val="center"/>
          </w:tcPr>
          <w:p w14:paraId="708D775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3711D6C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0E1307B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2025年7月</w:t>
            </w:r>
          </w:p>
        </w:tc>
      </w:tr>
    </w:tbl>
    <w:p w14:paraId="22AE170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21356"/>
      <w:r>
        <w:rPr>
          <w:rFonts w:hint="eastAsia"/>
          <w:lang w:val="en-US" w:eastAsia="zh-CN"/>
        </w:rPr>
        <w:t>人员招聘管理计划</w:t>
      </w:r>
      <w:bookmarkEnd w:id="16"/>
      <w:bookmarkEnd w:id="17"/>
    </w:p>
    <w:p w14:paraId="6DC9F7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公司人员招聘计划如表所示</w:t>
      </w:r>
    </w:p>
    <w:p w14:paraId="2E3B50F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-人员招聘计划表</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1A55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56D5F5F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1825" w:type="dxa"/>
            <w:vAlign w:val="center"/>
          </w:tcPr>
          <w:p w14:paraId="359AFDE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需求部门</w:t>
            </w:r>
          </w:p>
        </w:tc>
        <w:tc>
          <w:tcPr>
            <w:tcW w:w="2134" w:type="dxa"/>
            <w:vAlign w:val="center"/>
          </w:tcPr>
          <w:p w14:paraId="00BCC96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20" w:type="dxa"/>
            <w:vAlign w:val="center"/>
          </w:tcPr>
          <w:p w14:paraId="1ABE063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招聘人数</w:t>
            </w:r>
          </w:p>
        </w:tc>
        <w:tc>
          <w:tcPr>
            <w:tcW w:w="2142" w:type="dxa"/>
            <w:vAlign w:val="center"/>
          </w:tcPr>
          <w:p w14:paraId="3A12709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3C35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FC8DEF2">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226F463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vAlign w:val="center"/>
          </w:tcPr>
          <w:p w14:paraId="44055F8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1D6CEE7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7D2E59A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2025年2月</w:t>
            </w:r>
          </w:p>
        </w:tc>
      </w:tr>
      <w:tr w14:paraId="1B76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23EF665">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4EE48BF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研发部</w:t>
            </w:r>
          </w:p>
        </w:tc>
        <w:tc>
          <w:tcPr>
            <w:tcW w:w="2134" w:type="dxa"/>
            <w:vAlign w:val="center"/>
          </w:tcPr>
          <w:p w14:paraId="7B4C337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213A12C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EEB170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2025年3月</w:t>
            </w:r>
          </w:p>
        </w:tc>
      </w:tr>
      <w:tr w14:paraId="41A8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34E66192">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5C35B74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386B42C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7C9ABE8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694C6E9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2025年4月</w:t>
            </w:r>
          </w:p>
        </w:tc>
      </w:tr>
      <w:tr w14:paraId="5460C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730FDBA4">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4023D18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4F518DA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6C5A7F6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0BAF5E9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2025年5月</w:t>
            </w:r>
          </w:p>
        </w:tc>
      </w:tr>
      <w:tr w14:paraId="6CB5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474C1448">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6655B75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60ED22D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3FC7FFF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6FA179C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2025年6月</w:t>
            </w:r>
          </w:p>
        </w:tc>
      </w:tr>
      <w:tr w14:paraId="75AE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41A856B1">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385917B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研发部</w:t>
            </w:r>
          </w:p>
        </w:tc>
        <w:tc>
          <w:tcPr>
            <w:tcW w:w="2134" w:type="dxa"/>
            <w:shd w:val="clear" w:color="auto" w:fill="auto"/>
            <w:vAlign w:val="center"/>
          </w:tcPr>
          <w:p w14:paraId="772F06B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2DAFAD8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05E1263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p>
        </w:tc>
      </w:tr>
      <w:tr w14:paraId="260C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02FDDC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54C29CC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0A65BCA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39958AD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464631A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2025年7月</w:t>
            </w:r>
          </w:p>
        </w:tc>
      </w:tr>
      <w:tr w14:paraId="4F40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DD80EF7">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382E548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40138AE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21F544A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0923A69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2025年8月</w:t>
            </w:r>
          </w:p>
        </w:tc>
      </w:tr>
    </w:tbl>
    <w:p w14:paraId="16B4D98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3568"/>
      <w:r>
        <w:rPr>
          <w:rFonts w:hint="eastAsia"/>
          <w:lang w:val="en-US" w:eastAsia="zh-CN"/>
        </w:rPr>
        <w:t>人员备份管理计划</w:t>
      </w:r>
      <w:bookmarkEnd w:id="18"/>
    </w:p>
    <w:p w14:paraId="373BB2A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为确保在面临突发性人员缺席（如休假、离职或病假）时仍能维持业务连续运转，特制定本备份管理计划。本计划聚焦于降低因短期人员缺口导致的运营中断风险，通过提前规划与部署岗位备份人员，保障业务在紧急情况下的无缝衔接与平稳过渡，属于公司业务连续性管理体系的重要组成部分。</w:t>
      </w:r>
    </w:p>
    <w:p w14:paraId="2D9DEBB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-人员备份计划表</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018"/>
        <w:gridCol w:w="3087"/>
        <w:gridCol w:w="1105"/>
        <w:gridCol w:w="807"/>
        <w:gridCol w:w="858"/>
      </w:tblGrid>
      <w:tr w14:paraId="6DBF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7A94C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0E69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备份岗位名称</w:t>
            </w:r>
          </w:p>
        </w:tc>
        <w:tc>
          <w:tcPr>
            <w:tcW w:w="10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54DE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30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A258C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10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91EF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D5D0A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984B1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到岗时间</w:t>
            </w:r>
          </w:p>
        </w:tc>
      </w:tr>
      <w:tr w14:paraId="49D1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F3C6C75">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24309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97417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0571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部门战略、服务交付、应急响应的总负责人。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182A1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DEE15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87D70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2025年2月</w:t>
            </w:r>
          </w:p>
        </w:tc>
      </w:tr>
      <w:tr w14:paraId="4CA1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39150DA">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1FC7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589F5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546E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单个运维项目全生命周期管理、客户关系及SLA达成的第一责任人。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33A0E4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运维部经理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091F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73B641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2025年4月</w:t>
            </w:r>
          </w:p>
        </w:tc>
      </w:tr>
      <w:tr w14:paraId="310F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AB55799">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A88F3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840B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D42F5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研发战略、技术决策、架构治理及团队管理的负责人。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A426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9D31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5C448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2025年5月</w:t>
            </w:r>
          </w:p>
        </w:tc>
      </w:tr>
      <w:tr w14:paraId="16001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75E55828">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7EF41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质量管理部经理</w:t>
            </w:r>
          </w:p>
        </w:tc>
        <w:tc>
          <w:tcPr>
            <w:tcW w:w="10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0971B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30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9CC31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质量体系规划、内外部审核管理及重大质量事故处理的负责人。</w:t>
            </w:r>
          </w:p>
        </w:tc>
        <w:tc>
          <w:tcPr>
            <w:tcW w:w="110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78303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F391A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26473E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2025年7月</w:t>
            </w:r>
          </w:p>
        </w:tc>
      </w:tr>
    </w:tbl>
    <w:p w14:paraId="3423967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p>
    <w:p w14:paraId="715F4C6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241"/>
      <w:bookmarkStart w:id="20" w:name="_Toc27741"/>
      <w:bookmarkStart w:id="21" w:name="_Toc10776"/>
      <w:r>
        <w:rPr>
          <w:rFonts w:hint="eastAsia"/>
          <w:lang w:val="en-US" w:eastAsia="zh-CN"/>
        </w:rPr>
        <w:t>人员培训管理计划</w:t>
      </w:r>
      <w:bookmarkEnd w:id="19"/>
      <w:bookmarkEnd w:id="20"/>
    </w:p>
    <w:p w14:paraId="25D1D9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Style w:val="42"/>
        </w:rPr>
        <w:t>为支撑公司战略转型与业务升级，推动组织能力与业务发展同步演进，特制定系统性全员赋能计划。本计划旨在通过结构化的培训设计与实战训练，促进新老员工在服务理念、专业技能与协同机制上的深度融合，系统补齐能力短板、加速骨干梯队培养，最终打造一支兼具专业深度与协作广度的复合型团队，为公司的持续发展提供坚实的人才保障。</w:t>
      </w:r>
      <w:r>
        <w:rPr>
          <w:rFonts w:hint="eastAsia"/>
          <w:lang w:val="en-US" w:eastAsia="zh-CN"/>
        </w:rPr>
        <w:t>培训计划，如表2-3所示</w:t>
      </w:r>
    </w:p>
    <w:p w14:paraId="500A1B8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0243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rPr>
        <w:tc>
          <w:tcPr>
            <w:tcW w:w="532" w:type="dxa"/>
            <w:shd w:val="clear" w:color="auto" w:fill="auto"/>
            <w:tcMar>
              <w:top w:w="120" w:type="dxa"/>
              <w:left w:w="0" w:type="dxa"/>
              <w:bottom w:w="120" w:type="dxa"/>
              <w:right w:w="192" w:type="dxa"/>
            </w:tcMar>
            <w:vAlign w:val="center"/>
          </w:tcPr>
          <w:p w14:paraId="637728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13BF51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14:paraId="523EB6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rPr>
              <w:t>培训</w:t>
            </w:r>
            <w:r>
              <w:rPr>
                <w:rFonts w:hint="eastAsia" w:ascii="Segoe UI" w:hAnsi="Segoe UI" w:eastAsia="Segoe UI" w:cs="Segoe UI"/>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14:paraId="4631AF7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14:paraId="27DAB8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14:paraId="291D50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6D748E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eastAsia" w:ascii="Segoe UI" w:hAnsi="Segoe UI" w:eastAsia="Segoe UI" w:cs="Segoe UI"/>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14:paraId="28ACB9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default" w:ascii="Segoe UI" w:hAnsi="Segoe UI" w:eastAsia="Segoe UI" w:cs="Segoe UI"/>
                <w:b/>
                <w:i w:val="0"/>
                <w:iCs w:val="0"/>
                <w:caps w:val="0"/>
                <w:snapToGrid w:val="0"/>
                <w:color w:val="000000"/>
                <w:spacing w:val="0"/>
                <w:kern w:val="0"/>
                <w:sz w:val="15"/>
                <w:szCs w:val="15"/>
                <w:lang w:val="en-US" w:eastAsia="zh-CN"/>
              </w:rPr>
              <w:t>费用预估</w:t>
            </w:r>
          </w:p>
          <w:p w14:paraId="1B02EE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rPr>
              <w:t>（元）</w:t>
            </w:r>
          </w:p>
        </w:tc>
      </w:tr>
      <w:tr w14:paraId="5CB2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A917D25">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83974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14:paraId="38E2C2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2FFACD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1BEC9C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14:paraId="2D856C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吴夤</w:t>
            </w:r>
          </w:p>
        </w:tc>
        <w:tc>
          <w:tcPr>
            <w:tcW w:w="1204" w:type="dxa"/>
            <w:shd w:val="clear" w:color="auto" w:fill="auto"/>
            <w:tcMar>
              <w:top w:w="120" w:type="dxa"/>
              <w:left w:w="192" w:type="dxa"/>
              <w:bottom w:w="120" w:type="dxa"/>
              <w:right w:w="0" w:type="dxa"/>
            </w:tcMar>
            <w:vAlign w:val="center"/>
          </w:tcPr>
          <w:p w14:paraId="55156F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14:paraId="734652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13E9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5C8FA0F">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6AEB5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14:paraId="7A6BAE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6BD2E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4C62D3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2025年1月</w:t>
            </w:r>
          </w:p>
        </w:tc>
        <w:tc>
          <w:tcPr>
            <w:tcW w:w="800" w:type="dxa"/>
            <w:shd w:val="clear" w:color="auto" w:fill="auto"/>
            <w:tcMar>
              <w:top w:w="120" w:type="dxa"/>
              <w:left w:w="192" w:type="dxa"/>
              <w:bottom w:w="120" w:type="dxa"/>
              <w:right w:w="0" w:type="dxa"/>
            </w:tcMar>
            <w:vAlign w:val="center"/>
          </w:tcPr>
          <w:p w14:paraId="5CB760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吴夤</w:t>
            </w:r>
          </w:p>
        </w:tc>
        <w:tc>
          <w:tcPr>
            <w:tcW w:w="1204" w:type="dxa"/>
            <w:shd w:val="clear" w:color="auto" w:fill="auto"/>
            <w:tcMar>
              <w:top w:w="120" w:type="dxa"/>
              <w:left w:w="192" w:type="dxa"/>
              <w:bottom w:w="120" w:type="dxa"/>
              <w:right w:w="0" w:type="dxa"/>
            </w:tcMar>
            <w:vAlign w:val="center"/>
          </w:tcPr>
          <w:p w14:paraId="303658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9258D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47E3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D99898A">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A9B31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14:paraId="3F3213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2DAC27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B3F41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14:paraId="2D42BE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3651FB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79CD8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4DDD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D02836E">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6AE14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14:paraId="118BEA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1494A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320C1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14:paraId="539329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2DCC7D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24D52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0D26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9CF936E">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164F8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工单</w:t>
            </w:r>
            <w:r>
              <w:rPr>
                <w:rFonts w:hint="default" w:ascii="Segoe UI" w:hAnsi="Segoe UI" w:eastAsia="Segoe UI" w:cs="Segoe UI"/>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14:paraId="63C24A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4BA0E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FD2F4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14:paraId="4BC643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14A4A9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0FF8F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18B1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A338D2F">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7FE51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14:paraId="18E6F4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C00C6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9F508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14:paraId="203D3D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1F817E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09BDDF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0147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FA4F836">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14:paraId="1FA951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14:paraId="3BD585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1E2472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489571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2025年5月</w:t>
            </w:r>
          </w:p>
        </w:tc>
        <w:tc>
          <w:tcPr>
            <w:tcW w:w="800" w:type="dxa"/>
            <w:shd w:val="clear" w:color="auto" w:fill="auto"/>
            <w:tcMar>
              <w:top w:w="120" w:type="dxa"/>
              <w:left w:w="192" w:type="dxa"/>
              <w:bottom w:w="120" w:type="dxa"/>
              <w:right w:w="0" w:type="dxa"/>
            </w:tcMar>
            <w:vAlign w:val="center"/>
          </w:tcPr>
          <w:p w14:paraId="0A47EA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18FE7B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440325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52FA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0A8FC91">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8168C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14:paraId="79A799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EB054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12B596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14:paraId="6A7B71A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吴桀</w:t>
            </w:r>
          </w:p>
        </w:tc>
        <w:tc>
          <w:tcPr>
            <w:tcW w:w="1204" w:type="dxa"/>
            <w:shd w:val="clear" w:color="auto" w:fill="auto"/>
            <w:tcMar>
              <w:top w:w="120" w:type="dxa"/>
              <w:left w:w="192" w:type="dxa"/>
              <w:bottom w:w="120" w:type="dxa"/>
              <w:right w:w="0" w:type="dxa"/>
            </w:tcMar>
            <w:vAlign w:val="center"/>
          </w:tcPr>
          <w:p w14:paraId="0C358E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7045C6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5,000</w:t>
            </w:r>
          </w:p>
        </w:tc>
      </w:tr>
      <w:tr w14:paraId="1432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2C8067A">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EACBE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14:paraId="65746F1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51356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B6712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14:paraId="027588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330926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27EF5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146B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764D683">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F384C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14:paraId="227F20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B78E7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E9420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14:paraId="672F920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05CA29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04D9A8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2539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330A93A">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1F5BE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14:paraId="0AEE00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14:paraId="5235E8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311206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14:paraId="3F8CD6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727A47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997E272">
            <w:pPr>
              <w:keepNext w:val="0"/>
              <w:keepLines w:val="0"/>
              <w:pageBreakBefore w:val="0"/>
              <w:widowControl w:val="0"/>
              <w:suppressLineNumbers w:val="0"/>
              <w:tabs>
                <w:tab w:val="center" w:pos="528"/>
              </w:tabs>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0B44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64B149C0">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81326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14:paraId="632E40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6FE3F3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19844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14:paraId="45FE87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15A06B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32E59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69EC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667DD54">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D496F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51371D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BBDBF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rPr>
              <w:t>内部</w:t>
            </w:r>
            <w:r>
              <w:rPr>
                <w:rFonts w:hint="eastAsia" w:ascii="Segoe UI" w:hAnsi="Segoe UI" w:eastAsia="Segoe UI" w:cs="Segoe UI"/>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14:paraId="23F311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14:paraId="7A5544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吴桀</w:t>
            </w:r>
          </w:p>
        </w:tc>
        <w:tc>
          <w:tcPr>
            <w:tcW w:w="1204" w:type="dxa"/>
            <w:shd w:val="clear" w:color="auto" w:fill="auto"/>
            <w:tcMar>
              <w:top w:w="120" w:type="dxa"/>
              <w:left w:w="192" w:type="dxa"/>
              <w:bottom w:w="120" w:type="dxa"/>
              <w:right w:w="0" w:type="dxa"/>
            </w:tcMar>
            <w:vAlign w:val="center"/>
          </w:tcPr>
          <w:p w14:paraId="7DCDF2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4DF56F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bl>
    <w:p w14:paraId="26FD81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5373"/>
      <w:r>
        <w:rPr>
          <w:rFonts w:hint="eastAsia"/>
          <w:lang w:val="en-US" w:eastAsia="zh-CN"/>
        </w:rPr>
        <w:t>人员绩效考核管理计划</w:t>
      </w:r>
      <w:bookmarkEnd w:id="21"/>
      <w:bookmarkEnd w:id="22"/>
    </w:p>
    <w:p w14:paraId="304C1B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实现公司战略目标的有效分解与承接，激发组织效能与员工价值创造活力，营造客观、公平、激励导向的绩效文化，特制定本绩效管理体系。该体系以量化指标为核心，紧密对齐业务转型与能力提升目标，通过建立清晰、透明的评价机制，将员工个人绩效、收入发展与公司整体经营成果深度绑定，共同驱动组织与人才的协同成长。</w:t>
      </w:r>
    </w:p>
    <w:p w14:paraId="38EE2F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每季度对人员进行考核，要求绩效考核合格率达到90%以上</w:t>
      </w:r>
    </w:p>
    <w:p w14:paraId="410A89A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7912"/>
      <w:bookmarkStart w:id="24" w:name="_Toc5164"/>
      <w:r>
        <w:rPr>
          <w:rFonts w:hint="eastAsia"/>
          <w:lang w:val="en-US" w:eastAsia="zh-CN"/>
        </w:rPr>
        <w:t>人员技能评定管理计划</w:t>
      </w:r>
      <w:bookmarkEnd w:id="23"/>
      <w:bookmarkEnd w:id="24"/>
    </w:p>
    <w:p w14:paraId="50F19D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19494"/>
      <w:r>
        <w:t>为实现公司战略目标的有效分解与承接，激发组织效能与员工价值创造活力，营造客观、公平、激励导向的绩效文化，特制定本绩效管理体系。该体系以量化指标为核心，紧密对齐业务转型与能力提升目标，通过建立清晰、透明的评价机制，将员工个人绩效、收入发展与公司整体经营成果深度绑定，共同驱动组织与人才的协同成长。</w:t>
      </w:r>
    </w:p>
    <w:p w14:paraId="44D814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每季度对人员进行考核，要求绩效考核合格率达到90%以上</w:t>
      </w:r>
    </w:p>
    <w:p w14:paraId="6EC001E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6" w:name="_GoBack"/>
      <w:bookmarkEnd w:id="56"/>
      <w:r>
        <w:rPr>
          <w:rFonts w:hint="eastAsia"/>
          <w:lang w:val="en-US" w:eastAsia="zh-CN"/>
        </w:rPr>
        <w:t>资源管理计划</w:t>
      </w:r>
      <w:bookmarkEnd w:id="25"/>
    </w:p>
    <w:p w14:paraId="21431F6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24877"/>
      <w:r>
        <w:rPr>
          <w:rFonts w:hint="eastAsia"/>
          <w:lang w:val="en-US" w:eastAsia="zh-CN"/>
        </w:rPr>
        <w:t>运维工具管理计划</w:t>
      </w:r>
      <w:bookmarkEnd w:id="26"/>
    </w:p>
    <w:p w14:paraId="3B49AF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为有效管理与优化运维工具体系，支撑服务交付的效率与质量，公司建立了以数字化平台为核心的运维工具管理机制，并设定了明确的效能评估标准。该机制以年度为管理周期，核心考核指标为“年度工具自评估执行次数”，目标值为不少于1次。由运维部牵头，联合研发部共同开展工具能力的系统性评估，审视其在协同效率、流程支持与数据集成等方面的表现，评估结果将直接作为工具功能优化、技术升级与资源配置调整的关键依据，确保运维工具持续贴合业务发展需求，为运维服务的标准化与智能化提供可靠支撑。</w:t>
      </w:r>
    </w:p>
    <w:p w14:paraId="21AC28A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4760"/>
      <w:r>
        <w:rPr>
          <w:rFonts w:hint="eastAsia"/>
          <w:lang w:val="en-US" w:eastAsia="zh-CN"/>
        </w:rPr>
        <w:t>服务台管理计划</w:t>
      </w:r>
      <w:bookmarkEnd w:id="27"/>
    </w:p>
    <w:p w14:paraId="1094470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为构建统一、高效、专业的服务接入与响应枢纽，公司已建立并持续优化服务台管理体系。本体系以服务台派单成功率为核心效能指标，要求该指标</w:t>
      </w:r>
      <w:r>
        <w:rPr>
          <w:rFonts w:hint="eastAsia"/>
          <w:lang w:val="en-US" w:eastAsia="zh-CN"/>
        </w:rPr>
        <w:t>季度</w:t>
      </w:r>
      <w:r>
        <w:t>达成率不低于90%，以此确保客户请求能被准确识别、快速分派与有效闭环。运维部作为服务台的日常运营负责部门，需保障服务流程的规范执行与人员能力的持续提升；质量管理部则按月统计并分析该指标的达成情况，将评估结果直接纳入服务台团队及人员的绩效考核体系，并与流程优化、培训规划联动，形成“运营—监控—改进”的管理闭环，从而系统性提升服务响应质量、客户满意度与内部协作效率。</w:t>
      </w:r>
    </w:p>
    <w:p w14:paraId="671F6FF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14152"/>
      <w:r>
        <w:rPr>
          <w:rFonts w:hint="eastAsia"/>
          <w:lang w:val="en-US" w:eastAsia="zh-CN"/>
        </w:rPr>
        <w:t>服务知识管理计划</w:t>
      </w:r>
      <w:bookmarkEnd w:id="28"/>
    </w:p>
    <w:p w14:paraId="0DCC80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为推动运维知识的有效沉淀、共享与复用，构建组织级的学习与赋能体系，公司已建立服务知识管理制度。该制度以</w:t>
      </w:r>
      <w:r>
        <w:rPr>
          <w:rFonts w:hint="eastAsia"/>
          <w:lang w:eastAsia="zh-CN"/>
        </w:rPr>
        <w:t>“</w:t>
      </w:r>
      <w:r>
        <w:t>新增知识条目</w:t>
      </w:r>
      <w:r>
        <w:rPr>
          <w:rFonts w:hint="eastAsia"/>
          <w:lang w:eastAsia="zh-CN"/>
        </w:rPr>
        <w:t>”</w:t>
      </w:r>
      <w:r>
        <w:t>作为核心衡量指标，</w:t>
      </w:r>
      <w:r>
        <w:rPr>
          <w:rFonts w:hint="eastAsia"/>
          <w:lang w:val="en-US" w:eastAsia="zh-CN"/>
        </w:rPr>
        <w:t>要求</w:t>
      </w:r>
      <w:r>
        <w:t>季度</w:t>
      </w:r>
      <w:r>
        <w:rPr>
          <w:rFonts w:hint="eastAsia"/>
          <w:lang w:val="en-US" w:eastAsia="zh-CN"/>
        </w:rPr>
        <w:t>新增知识条目</w:t>
      </w:r>
      <w:r>
        <w:t>不少于10条的目标值，旨在确保知识资产的活跃度与持续丰富。服务台团队负责知识的日常采集、结构化录入与应用推广，运维部则负责知识体系的维护与分类优化。质量管理部将按月、按季度对上述指标进行统计与分析，评估结果与服务台团队绩效考核挂钩，并作为知识管理机制优化、培训内容开发及问题解决能力提升的重要依据，从而形成知识积累与业务增效相互促进的良性循环。</w:t>
      </w:r>
    </w:p>
    <w:p w14:paraId="0EA6963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6150"/>
      <w:r>
        <w:rPr>
          <w:rFonts w:hint="eastAsia"/>
          <w:lang w:val="en-US" w:eastAsia="zh-CN"/>
        </w:rPr>
        <w:t>最终软件库管理计划</w:t>
      </w:r>
      <w:bookmarkEnd w:id="29"/>
    </w:p>
    <w:p w14:paraId="13082D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软件资产的一致性、合规性与可追溯性，公司建立了最终软件库管理体系。该体系以“软件合规性审计次数”为核心管控指标，要求每半年至少完成1次全面审计，确保软件版本的合规使用与统一管理。研发部作为责任部门，负责软件库的版本控制、入库审核与日常维护工作，确保软件资产信息的准确性与完整性。质量管理部依据审计结果进行评估，其结果将作为发布管理流程优化、软件治理策略调整以及供应商合规管理的重要依据。通过持续的审计与改进，本体系致力于降低软件部署风险、提升系统稳定性，并为运维服务的可靠交付提供坚实的软件资产基础。</w:t>
      </w:r>
    </w:p>
    <w:p w14:paraId="553C086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9214"/>
      <w:r>
        <w:rPr>
          <w:rFonts w:hint="eastAsia"/>
          <w:lang w:val="en-US" w:eastAsia="zh-CN"/>
        </w:rPr>
        <w:t>服务数据管理计划</w:t>
      </w:r>
      <w:bookmarkEnd w:id="30"/>
    </w:p>
    <w:p w14:paraId="0B41FA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为充分发挥服务数据的决策支持与过程优化价值，公司建立了服务数据管理体系。该体系以“服务数据分析利用次数”为核心效能指标，要求每季度至少完成</w:t>
      </w:r>
      <w:r>
        <w:rPr>
          <w:rFonts w:hint="eastAsia"/>
          <w:lang w:val="en-US" w:eastAsia="zh-CN"/>
        </w:rPr>
        <w:t>1</w:t>
      </w:r>
      <w:r>
        <w:rPr>
          <w:rFonts w:hint="default"/>
          <w:lang w:val="en-US" w:eastAsia="zh-CN"/>
        </w:rPr>
        <w:t>次深度数据分析与业务应用，确保数据从采集到价值转化的闭环管理。运维部负责服务数据的规范录入、整合维护与分析建模，形成可供业务洞察的数据资产。质量管理部按季度对数据分析成果的应用成效进行评估，其结果将纳入运维团队绩效考核，并作为数据治理策略优化、服务质量改进及管理决策科学化的重要依据，推动公司从数据支撑向数据驱动服务升级的系统性转变。</w:t>
      </w:r>
    </w:p>
    <w:p w14:paraId="55AE248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9850"/>
      <w:r>
        <w:rPr>
          <w:rFonts w:hint="eastAsia"/>
          <w:lang w:val="en-US" w:eastAsia="zh-CN"/>
        </w:rPr>
        <w:t>技术管理计划</w:t>
      </w:r>
      <w:bookmarkEnd w:id="31"/>
    </w:p>
    <w:p w14:paraId="077B092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聚焦于构建智能化、体系化的运维技术能力，重点推进三个核心方向：一是开发智能公告中心与实时满意度分析模块，以提升管理信息传达效率与服务体验感知能力；二是开展运维手册标准化研发与知识库功能强化，促进运维知识的系统化沉淀与场景化复用；三是启动智能运维（AIOps）与流程自动化等新技术的探索性研究，为服务模式的创新演进进行前瞻性技术储备。通过上述工作的协同开展，旨在为运维服务向数字化、智能化转型提供坚实的技术支撑。</w:t>
      </w:r>
    </w:p>
    <w:p w14:paraId="4D81BAC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22744"/>
      <w:r>
        <w:rPr>
          <w:rFonts w:hint="eastAsia"/>
          <w:lang w:val="en-US" w:eastAsia="zh-CN"/>
        </w:rPr>
        <w:t>运维工具二次开发</w:t>
      </w:r>
      <w:bookmarkEnd w:id="32"/>
    </w:p>
    <w:p w14:paraId="369536B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4"/>
        <w:gridCol w:w="2764"/>
        <w:gridCol w:w="4185"/>
      </w:tblGrid>
      <w:tr w14:paraId="19027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74"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F5053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研发阶段</w:t>
            </w:r>
          </w:p>
        </w:tc>
        <w:tc>
          <w:tcPr>
            <w:tcW w:w="2764"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17DED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计划时间</w:t>
            </w:r>
          </w:p>
        </w:tc>
        <w:tc>
          <w:tcPr>
            <w:tcW w:w="418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91DC5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主要工作内容</w:t>
            </w:r>
          </w:p>
        </w:tc>
      </w:tr>
      <w:tr w14:paraId="69975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B67DF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w:t>
            </w:r>
          </w:p>
        </w:tc>
        <w:tc>
          <w:tcPr>
            <w:tcW w:w="276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6D57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1-3月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E9BD9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14:paraId="2F209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0A0B2C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p>
        </w:tc>
        <w:tc>
          <w:tcPr>
            <w:tcW w:w="276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5202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4-6月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5157E8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 服务知识 的基础管理功能与检索功能开发。完成 客户满意度模块 中调查项配置与问卷手动发放功能的核心开发。</w:t>
            </w:r>
          </w:p>
        </w:tc>
      </w:tr>
      <w:tr w14:paraId="63CE5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0874C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p>
        </w:tc>
        <w:tc>
          <w:tcPr>
            <w:tcW w:w="276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CEF47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7-9月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25EEA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14:paraId="452C4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5FD0D6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p>
        </w:tc>
        <w:tc>
          <w:tcPr>
            <w:tcW w:w="2764"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FAA14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10月</w:t>
            </w:r>
          </w:p>
        </w:tc>
        <w:tc>
          <w:tcPr>
            <w:tcW w:w="418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60F6E8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进行各模块间的系统集成测试、性能优化及安全测试。</w:t>
            </w:r>
            <w:r>
              <w:rPr>
                <w:rFonts w:hint="eastAsia" w:ascii="Segoe UI" w:hAnsi="Segoe UI" w:eastAsia="Segoe UI" w:cs="Segoe UI"/>
                <w:i w:val="0"/>
                <w:iCs w:val="0"/>
                <w:caps w:val="0"/>
                <w:snapToGrid w:val="0"/>
                <w:color w:val="000000"/>
                <w:spacing w:val="0"/>
                <w:kern w:val="0"/>
                <w:sz w:val="18"/>
                <w:szCs w:val="18"/>
                <w:lang w:val="en-US" w:eastAsia="zh-CN"/>
              </w:rPr>
              <w:t>在数智运维部</w:t>
            </w:r>
            <w:r>
              <w:rPr>
                <w:rFonts w:hint="default" w:ascii="Segoe UI" w:hAnsi="Segoe UI" w:eastAsia="Segoe UI" w:cs="Segoe UI"/>
                <w:i w:val="0"/>
                <w:iCs w:val="0"/>
                <w:caps w:val="0"/>
                <w:snapToGrid w:val="0"/>
                <w:color w:val="000000"/>
                <w:spacing w:val="0"/>
                <w:kern w:val="0"/>
                <w:sz w:val="18"/>
                <w:szCs w:val="18"/>
                <w:lang w:val="en-US" w:eastAsia="zh-CN"/>
              </w:rPr>
              <w:t>试点运行，收集一线反馈，为全面推广做准备。</w:t>
            </w:r>
          </w:p>
        </w:tc>
      </w:tr>
    </w:tbl>
    <w:p w14:paraId="55A1A73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7640"/>
      <w:r>
        <w:rPr>
          <w:rFonts w:hint="eastAsia"/>
          <w:lang w:val="en-US" w:eastAsia="zh-CN"/>
        </w:rPr>
        <w:t>运维手册研发</w:t>
      </w:r>
      <w:bookmarkEnd w:id="33"/>
    </w:p>
    <w:p w14:paraId="110203C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运维手册研发计划表</w:t>
      </w:r>
    </w:p>
    <w:tbl>
      <w:tblPr>
        <w:tblStyle w:val="20"/>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7"/>
        <w:gridCol w:w="1562"/>
        <w:gridCol w:w="1665"/>
        <w:gridCol w:w="2831"/>
        <w:gridCol w:w="908"/>
        <w:gridCol w:w="1003"/>
      </w:tblGrid>
      <w:tr w14:paraId="5FBA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27" w:type="dxa"/>
            <w:shd w:val="clear" w:color="auto" w:fill="auto"/>
            <w:tcMar>
              <w:top w:w="120" w:type="dxa"/>
              <w:left w:w="0" w:type="dxa"/>
              <w:bottom w:w="120" w:type="dxa"/>
              <w:right w:w="192" w:type="dxa"/>
            </w:tcMar>
            <w:vAlign w:val="center"/>
          </w:tcPr>
          <w:p w14:paraId="02C000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14:paraId="484BE2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14:paraId="17F316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14:paraId="62748A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14:paraId="7FB162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14:paraId="6DFC76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r>
      <w:tr w14:paraId="12C2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4FD659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14:paraId="172F09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2297ED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hint="eastAsia" w:ascii="Segoe UI" w:hAnsi="Segoe UI" w:eastAsia="Segoe UI" w:cs="Segoe UI"/>
                <w:i w:val="0"/>
                <w:iCs w:val="0"/>
                <w:caps w:val="0"/>
                <w:snapToGrid w:val="0"/>
                <w:color w:val="000000"/>
                <w:spacing w:val="0"/>
                <w:kern w:val="0"/>
                <w:sz w:val="18"/>
                <w:szCs w:val="18"/>
                <w:lang w:val="en-US" w:eastAsia="zh-CN"/>
              </w:rPr>
              <w:t>视频监控平台运维手册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312914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fill="FFFFFF"/>
              </w:rPr>
              <w:t>涵盖视频监控平台（含摄像机、NVR、解码器等）的部署配置、日常操作、监控巡检及常见故障处理指南</w:t>
            </w:r>
          </w:p>
        </w:tc>
        <w:tc>
          <w:tcPr>
            <w:tcW w:w="908" w:type="dxa"/>
            <w:shd w:val="clear" w:color="auto" w:fill="auto"/>
            <w:tcMar>
              <w:top w:w="120" w:type="dxa"/>
              <w:left w:w="192" w:type="dxa"/>
              <w:bottom w:w="120" w:type="dxa"/>
              <w:right w:w="192" w:type="dxa"/>
            </w:tcMar>
            <w:vAlign w:val="center"/>
          </w:tcPr>
          <w:p w14:paraId="0FE34A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3FADC8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1</w:t>
            </w:r>
          </w:p>
        </w:tc>
      </w:tr>
      <w:tr w14:paraId="114B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6DA9A2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14:paraId="30C7D2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技术知识</w:t>
            </w:r>
          </w:p>
        </w:tc>
        <w:tc>
          <w:tcPr>
            <w:tcW w:w="1665" w:type="dxa"/>
            <w:shd w:val="clear" w:color="auto" w:fill="auto"/>
            <w:tcMar>
              <w:top w:w="120" w:type="dxa"/>
              <w:left w:w="192" w:type="dxa"/>
              <w:bottom w:w="120" w:type="dxa"/>
              <w:right w:w="192" w:type="dxa"/>
            </w:tcMar>
            <w:vAlign w:val="center"/>
          </w:tcPr>
          <w:p w14:paraId="5552A5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fill="FFFFFF"/>
              </w:rPr>
              <w:t>视频监控网络传输故障排查手册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1230CE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fill="FFFFFF"/>
              </w:rPr>
              <w:t>涵盖光纤收发器、交换机、IP规划等网络传输设备的故障定位方法、排查步骤及典型问题处理流程</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908" w:type="dxa"/>
            <w:shd w:val="clear" w:color="auto" w:fill="auto"/>
            <w:tcMar>
              <w:top w:w="120" w:type="dxa"/>
              <w:left w:w="192" w:type="dxa"/>
              <w:bottom w:w="120" w:type="dxa"/>
              <w:right w:w="192" w:type="dxa"/>
            </w:tcMar>
            <w:vAlign w:val="center"/>
          </w:tcPr>
          <w:p w14:paraId="4F38A3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51A783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2</w:t>
            </w:r>
          </w:p>
        </w:tc>
      </w:tr>
      <w:tr w14:paraId="115F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544539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14:paraId="775C2B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137CEC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fill="FFFFFF"/>
              </w:rPr>
              <w:t>视频存储与平台运维手册</w:t>
            </w:r>
            <w:r>
              <w:rPr>
                <w:rFonts w:hint="eastAsia"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46C5336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ascii="Segoe UI" w:hAnsi="Segoe UI" w:eastAsia="Segoe UI" w:cs="Segoe UI"/>
                <w:i w:val="0"/>
                <w:iCs w:val="0"/>
                <w:caps w:val="0"/>
                <w:color w:val="0F1115"/>
                <w:spacing w:val="0"/>
                <w:sz w:val="18"/>
                <w:szCs w:val="18"/>
                <w:shd w:val="clear" w:fill="FFFFFF"/>
              </w:rPr>
              <w:t>涵盖NVR/CVR存储设备、视频综合平台、存储服务器的日常运维、容量管理、录像完整性检查及故障恢复操作</w:t>
            </w:r>
            <w:r>
              <w:rPr>
                <w:rStyle w:val="23"/>
                <w:rFonts w:ascii="Segoe UI" w:hAnsi="Segoe UI" w:eastAsia="Segoe UI" w:cs="Segoe UI"/>
                <w:b/>
                <w:bCs/>
                <w:i w:val="0"/>
                <w:iCs w:val="0"/>
                <w:caps w:val="0"/>
                <w:color w:val="0F1115"/>
                <w:spacing w:val="0"/>
                <w:sz w:val="18"/>
                <w:szCs w:val="18"/>
                <w:shd w:val="clear" w:color="auto" w:fill="FFFFFF"/>
              </w:rPr>
              <w:t>。</w:t>
            </w:r>
          </w:p>
        </w:tc>
        <w:tc>
          <w:tcPr>
            <w:tcW w:w="908" w:type="dxa"/>
            <w:shd w:val="clear" w:color="auto" w:fill="auto"/>
            <w:tcMar>
              <w:top w:w="120" w:type="dxa"/>
              <w:left w:w="192" w:type="dxa"/>
              <w:bottom w:w="120" w:type="dxa"/>
              <w:right w:w="192" w:type="dxa"/>
            </w:tcMar>
            <w:vAlign w:val="center"/>
          </w:tcPr>
          <w:p w14:paraId="030AD5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5B8615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3</w:t>
            </w:r>
          </w:p>
        </w:tc>
      </w:tr>
    </w:tbl>
    <w:p w14:paraId="325766E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598EF28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7868"/>
      <w:r>
        <w:rPr>
          <w:rFonts w:hint="eastAsia"/>
          <w:lang w:val="en-US" w:eastAsia="zh-CN"/>
        </w:rPr>
        <w:t>研发团队构成</w:t>
      </w:r>
      <w:bookmarkEnd w:id="34"/>
    </w:p>
    <w:p w14:paraId="3BC077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根据公司发展需要，运维工具研发团队人员配置信息如表2-6所示</w:t>
      </w:r>
    </w:p>
    <w:p w14:paraId="5191313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人员配置表</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8"/>
        <w:gridCol w:w="1767"/>
        <w:gridCol w:w="4730"/>
      </w:tblGrid>
      <w:tr w14:paraId="5738F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9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FA948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76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C6292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73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16CDC6A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r>
      <w:tr w14:paraId="15BCF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7ACF5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DD451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E2328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r>
      <w:tr w14:paraId="4641B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0D7CF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后端开发工程师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F6298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A296E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tc>
      </w:tr>
      <w:tr w14:paraId="04BE8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417CD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前端开发工程师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D28438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C9C81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r>
      <w:tr w14:paraId="3DEFD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D3A9D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E722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7D9D7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r>
      <w:tr w14:paraId="366CE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EF885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5ED1A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D5C58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r>
      <w:tr w14:paraId="276F8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0261A4C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76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6D2F2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473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737D77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r>
    </w:tbl>
    <w:p w14:paraId="626BBDA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0629"/>
      <w:r>
        <w:rPr>
          <w:rFonts w:hint="eastAsia"/>
          <w:lang w:val="en-US" w:eastAsia="zh-CN"/>
        </w:rPr>
        <w:t>新技术研发</w:t>
      </w:r>
      <w:bookmarkEnd w:id="35"/>
    </w:p>
    <w:p w14:paraId="0F4FF6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在</w:t>
      </w:r>
      <w:r>
        <w:rPr>
          <w:rFonts w:hint="default"/>
          <w:lang w:val="en-US" w:eastAsia="zh-CN"/>
        </w:rPr>
        <w:t>智能运维（AIOps）场景化应用探索</w:t>
      </w:r>
      <w:r>
        <w:rPr>
          <w:rFonts w:hint="eastAsia"/>
          <w:lang w:val="en-US" w:eastAsia="zh-CN"/>
        </w:rPr>
        <w:t>和</w:t>
      </w:r>
      <w:r>
        <w:rPr>
          <w:rFonts w:hint="default"/>
          <w:lang w:val="en-US" w:eastAsia="zh-CN"/>
        </w:rPr>
        <w:t>超自动化流程拓展</w:t>
      </w:r>
      <w:r>
        <w:rPr>
          <w:rFonts w:hint="eastAsia"/>
          <w:lang w:val="en-US" w:eastAsia="zh-CN"/>
        </w:rPr>
        <w:t>两个方向进行研究。实现</w:t>
      </w:r>
      <w:r>
        <w:rPr>
          <w:rFonts w:hint="default"/>
          <w:lang w:val="en-US" w:eastAsia="zh-CN"/>
        </w:rPr>
        <w:t>构建可复用的自动化组件库，降低新自动化场景的构建门槛与周期</w:t>
      </w:r>
    </w:p>
    <w:p w14:paraId="63E51A3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9355"/>
      <w:r>
        <w:rPr>
          <w:rFonts w:hint="eastAsia"/>
          <w:lang w:val="en-US" w:eastAsia="zh-CN"/>
        </w:rPr>
        <w:t>运维经费投入</w:t>
      </w:r>
      <w:bookmarkEnd w:id="36"/>
    </w:p>
    <w:p w14:paraId="0A39E88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研发经费投入计划表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8"/>
        <w:gridCol w:w="2252"/>
        <w:gridCol w:w="3586"/>
        <w:gridCol w:w="1969"/>
      </w:tblGrid>
      <w:tr w14:paraId="20BF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8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5F1D7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25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EF88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5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D78A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96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820818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r>
      <w:tr w14:paraId="2BD8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1BAF8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A3AD8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17EA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0DEC4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2658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B4E86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C768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7ED0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E4BAC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7E8B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E353F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D324B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C6595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4BB390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5431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5D46B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812C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30FC8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ABACF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69A1A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21BB4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278D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C7D6B5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74A9B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7157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A9B1C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32BD8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063D2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9F2FF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1252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423EA3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25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BBE56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5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1344AB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p>
        </w:tc>
        <w:tc>
          <w:tcPr>
            <w:tcW w:w="196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2F7656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4516DF6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25433"/>
      <w:r>
        <w:rPr>
          <w:rFonts w:hint="eastAsia"/>
          <w:lang w:val="en-US" w:eastAsia="zh-CN"/>
        </w:rPr>
        <w:t>过程管理计划</w:t>
      </w:r>
      <w:bookmarkEnd w:id="37"/>
    </w:p>
    <w:p w14:paraId="10A78EF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4207"/>
      <w:r>
        <w:rPr>
          <w:rFonts w:hint="eastAsia"/>
          <w:lang w:val="en-US" w:eastAsia="zh-CN"/>
        </w:rPr>
        <w:t>过程框架管理计划</w:t>
      </w:r>
      <w:bookmarkEnd w:id="38"/>
    </w:p>
    <w:p w14:paraId="3A29E4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公司运维服务过程体系科学、规范且持续改进，依据运维服务能力管理指标体系相关要求，特制定过程框架管理计划。本计划聚焦于过程框架的系统化设计与定期评估，明确要求年度过程框架自评估执行次数不少于1次，由运维部负责牵头组织落实。通过持续开展过程成熟度评估与框架优化，推动服务管理流程与业务目标动态对齐，实现运维服务过程的标准化、可视化与闭环管理，为服务能力的体系化建设与可持续发展提供坚实的流程保障。</w:t>
      </w:r>
    </w:p>
    <w:p w14:paraId="064B1A8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16383"/>
      <w:r>
        <w:rPr>
          <w:rFonts w:hint="eastAsia"/>
          <w:lang w:val="en-US" w:eastAsia="zh-CN"/>
        </w:rPr>
        <w:t>服务级别管理计划</w:t>
      </w:r>
      <w:bookmarkEnd w:id="39"/>
    </w:p>
    <w:p w14:paraId="3FF326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为保障服务交付质量符合客户预期，公司建立了服务级别管理体系，以季度为周期对</w:t>
      </w:r>
      <w:r>
        <w:rPr>
          <w:rFonts w:hint="default"/>
        </w:rPr>
        <w:t>SLA达成率（目标值≥90%）进行考核。运维部负责服务级别协议的制定、监控与回顾，通过持续跟踪服务承诺的履行情况，驱动内部运营优化，确保服务交付始终满足或超越约定标准。</w:t>
      </w:r>
    </w:p>
    <w:p w14:paraId="0D55C27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12360"/>
      <w:r>
        <w:rPr>
          <w:rFonts w:hint="eastAsia"/>
          <w:lang w:val="en-US" w:eastAsia="zh-CN"/>
        </w:rPr>
        <w:t>服务报告管理计划</w:t>
      </w:r>
      <w:bookmarkEnd w:id="40"/>
    </w:p>
    <w:p w14:paraId="7B4EC0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为建立透明、可追溯的服务沟通机制，公司实施服务报告管理制度，按季度对</w:t>
      </w:r>
      <w:r>
        <w:rPr>
          <w:rFonts w:hint="default"/>
        </w:rPr>
        <w:t>服务报告交付及时率（目标值≥90%）进行考核。运维部负责定期编制与提交各类服务报告，质量管理部监督其及时性与质量，确保管理层与客户能够准确、及时地掌握服务绩效与运营状态。</w:t>
      </w:r>
    </w:p>
    <w:p w14:paraId="78D3908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14384"/>
      <w:r>
        <w:rPr>
          <w:rFonts w:hint="eastAsia"/>
          <w:lang w:val="en-US" w:eastAsia="zh-CN"/>
        </w:rPr>
        <w:t>事件管理计划</w:t>
      </w:r>
      <w:bookmarkEnd w:id="41"/>
    </w:p>
    <w:p w14:paraId="03EB0B6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为确保服务中断得到快速恢复，公司建立了标准化事件管理流程。每月考核</w:t>
      </w:r>
      <w:r>
        <w:rPr>
          <w:rFonts w:hint="default"/>
        </w:rPr>
        <w:t>事件解决率（目标值≥90%），每季度考核事件解决用户满意度（目标值≥90%）。运维部负责事件的全程跟踪与闭环处理，通过优化响应与解决流程，致力于最小化事件对业务的影响，并持续提升客户体验。</w:t>
      </w:r>
    </w:p>
    <w:p w14:paraId="15A3B4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21791"/>
      <w:bookmarkStart w:id="43" w:name="_Toc1404"/>
      <w:r>
        <w:rPr>
          <w:rFonts w:hint="eastAsia"/>
          <w:lang w:val="en-US" w:eastAsia="zh-CN"/>
        </w:rPr>
        <w:t>问题管理计划</w:t>
      </w:r>
      <w:bookmarkEnd w:id="42"/>
      <w:bookmarkEnd w:id="43"/>
    </w:p>
    <w:p w14:paraId="3114DA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为从根源上减少事件复发，公司推行系统性问题管理，每季度对</w:t>
      </w:r>
      <w:r>
        <w:rPr>
          <w:rFonts w:hint="default"/>
        </w:rPr>
        <w:t>问题解决率（目标值≥90%）与问题转知识的比率（目标值≥90%）进行考核。运维部负责主导问题根因分析及预防措施的制定与落实，强调将已验证的解决方案转化为知识资产，实现从被动应对到主动预防的转变。</w:t>
      </w:r>
    </w:p>
    <w:p w14:paraId="185F725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25485"/>
      <w:r>
        <w:rPr>
          <w:rFonts w:hint="eastAsia"/>
          <w:lang w:val="en-US" w:eastAsia="zh-CN"/>
        </w:rPr>
        <w:t>变更管理计划</w:t>
      </w:r>
      <w:bookmarkEnd w:id="44"/>
    </w:p>
    <w:p w14:paraId="54B906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为保障服务变更的风险可控与顺利实施，公司实施严格的变更管理流程，每月对</w:t>
      </w:r>
      <w:r>
        <w:rPr>
          <w:rFonts w:hint="default"/>
        </w:rPr>
        <w:t>变更成功率（目标值≥98%）进行考核。运维部负责变更的评审、授权与协调，通过标准化流程与分级审批机制，确保所有变更均经过充分评估与测试，最大限度降低对生产环境稳定性的影响。</w:t>
      </w:r>
    </w:p>
    <w:p w14:paraId="3CC50FB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16131"/>
      <w:r>
        <w:rPr>
          <w:rFonts w:hint="eastAsia"/>
          <w:lang w:val="en-US" w:eastAsia="zh-CN"/>
        </w:rPr>
        <w:t>发布管理计划</w:t>
      </w:r>
      <w:bookmarkEnd w:id="45"/>
    </w:p>
    <w:p w14:paraId="0DEB59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为确保软硬件版本安全、一致地部署至生产环境，公司建立了发布管理制度，每月对</w:t>
      </w:r>
      <w:r>
        <w:rPr>
          <w:rFonts w:hint="default"/>
        </w:rPr>
        <w:t>发布成功率（目标值≥98%）进行考核。运维部与研发部协同负责发布计划、测试与实施，通过严谨的发布窗口管理与回滚预案，保障每一次发布的可靠性与业务连续性。</w:t>
      </w:r>
    </w:p>
    <w:p w14:paraId="29ABE12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13587"/>
      <w:r>
        <w:rPr>
          <w:rFonts w:hint="eastAsia"/>
          <w:lang w:val="en-US" w:eastAsia="zh-CN"/>
        </w:rPr>
        <w:t>配置管理计划</w:t>
      </w:r>
      <w:bookmarkEnd w:id="46"/>
    </w:p>
    <w:p w14:paraId="460BBF9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为确保IT基础设施与组件信息的准确性与一致性，公司实施配置管理，每半年对配置数据的准确率（目标值≥95%）进行考核。运维部负责维护配置管理数据库（CMDB），通过定期审计与验证，为事件、问题、变更等管理流程提供可靠的配置信息支撑。</w:t>
      </w:r>
    </w:p>
    <w:p w14:paraId="2032F65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7" w:name="_Toc9083"/>
      <w:r>
        <w:rPr>
          <w:rFonts w:hint="eastAsia"/>
          <w:lang w:val="en-US" w:eastAsia="zh-CN"/>
        </w:rPr>
        <w:t>服务可用性和连续性管理计划</w:t>
      </w:r>
      <w:bookmarkEnd w:id="47"/>
    </w:p>
    <w:p w14:paraId="0FDA78E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为保障核心服务的高可用与业务连续性，公司建立了专项管理机制。每月考核</w:t>
      </w:r>
      <w:r>
        <w:rPr>
          <w:rFonts w:hint="default"/>
        </w:rPr>
        <w:t>服务可用率（目标值≥90%）并监控服务故障中断次数（约束值≤1次），每年至少组织一次应急演练。通过制定应急预案、实施冗余设计及定期演练，确保在计划内或意外中断时能快速恢复服务。</w:t>
      </w:r>
    </w:p>
    <w:p w14:paraId="0F083C7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8" w:name="_Toc26787"/>
      <w:r>
        <w:rPr>
          <w:rFonts w:hint="eastAsia"/>
          <w:lang w:val="en-US" w:eastAsia="zh-CN"/>
        </w:rPr>
        <w:t>容量管理计划</w:t>
      </w:r>
      <w:bookmarkEnd w:id="48"/>
    </w:p>
    <w:p w14:paraId="3D9BD1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为确保IT资源能够持续满足业务增长需求，公司推行容量管理，每年对</w:t>
      </w:r>
      <w:r>
        <w:rPr>
          <w:rFonts w:hint="default"/>
        </w:rPr>
        <w:t>容量事件数（约束值≤1次）进行考核。运维部负责监控资源使用趋势并进行容量规划，通过前瞻性的分析与扩容，预防因资源不足导致的性能下降或服务中断。</w:t>
      </w:r>
    </w:p>
    <w:p w14:paraId="4896599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8573"/>
      <w:r>
        <w:rPr>
          <w:rFonts w:hint="eastAsia"/>
          <w:lang w:val="en-US" w:eastAsia="zh-CN"/>
        </w:rPr>
        <w:t>信息安全管理计划</w:t>
      </w:r>
      <w:bookmarkEnd w:id="49"/>
    </w:p>
    <w:p w14:paraId="2C8B86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为保护客户与公司信息资产安全，公司实施信息安全管理体系，每年对</w:t>
      </w:r>
      <w:r>
        <w:rPr>
          <w:rFonts w:hint="default"/>
        </w:rPr>
        <w:t>信息安全事件数量（约束值≤1次）进行考核。通过制定安全策略、实施访问控制、开展安全培训与审计，持续构建主动防御能力，确保运维服务过程符合安全合规要求。</w:t>
      </w:r>
    </w:p>
    <w:p w14:paraId="043897D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0" w:name="_Toc29099"/>
      <w:r>
        <w:rPr>
          <w:rFonts w:hint="eastAsia"/>
          <w:lang w:val="en-US" w:eastAsia="zh-CN"/>
        </w:rPr>
        <w:t>交付管理计划</w:t>
      </w:r>
      <w:bookmarkEnd w:id="50"/>
    </w:p>
    <w:p w14:paraId="76B089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为保障运维项目按时、按质完成交付，公司建立了交付管理体系，以</w:t>
      </w:r>
      <w:r>
        <w:rPr>
          <w:rFonts w:hint="default"/>
        </w:rPr>
        <w:t> 项目及时交付率 为核心指标，目标值为100%，并按年度进行考核。运维部作为交付责任主体，负责项目全生命周期的计划、执行与监控，通过强化资源协调与进度管控，确保所有运维项目均能达成既定交付目标，实现客户承诺与服务价值。</w:t>
      </w:r>
    </w:p>
    <w:p w14:paraId="1610ACC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5596"/>
      <w:r>
        <w:rPr>
          <w:rFonts w:hint="eastAsia"/>
          <w:lang w:val="en-US" w:eastAsia="zh-CN"/>
        </w:rPr>
        <w:t>应急管理计划</w:t>
      </w:r>
      <w:bookmarkEnd w:id="51"/>
    </w:p>
    <w:p w14:paraId="153CBAA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为有效应对重大服务中断等突发状况，保障业务连续性，公司制定了应急管理体系，以</w:t>
      </w:r>
      <w:r>
        <w:rPr>
          <w:rFonts w:hint="eastAsia"/>
          <w:lang w:eastAsia="zh-CN"/>
        </w:rPr>
        <w:t>“</w:t>
      </w:r>
      <w:r>
        <w:rPr>
          <w:rFonts w:hint="default"/>
        </w:rPr>
        <w:t>项目应急演练次数</w:t>
      </w:r>
      <w:r>
        <w:rPr>
          <w:rFonts w:hint="eastAsia"/>
          <w:lang w:eastAsia="zh-CN"/>
        </w:rPr>
        <w:t>”</w:t>
      </w:r>
      <w:r>
        <w:rPr>
          <w:rFonts w:hint="default"/>
        </w:rPr>
        <w:t>为核心过程指标，要求每年至少开展1次应急演练，并按年度进行考核。运维部协同应急管理部负责预案制定、演练组织与总结优化，通过常态化演练提升团队应急响应与协同处置能力，确保在真实事件发生时能够快速、有序恢复服务。</w:t>
      </w:r>
    </w:p>
    <w:p w14:paraId="017CBB1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7242"/>
      <w:r>
        <w:rPr>
          <w:rFonts w:hint="eastAsia"/>
          <w:lang w:val="en-US" w:eastAsia="zh-CN"/>
        </w:rPr>
        <w:t>质量管理计划</w:t>
      </w:r>
      <w:bookmarkEnd w:id="52"/>
    </w:p>
    <w:p w14:paraId="51BAD57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3" w:name="_Toc23662"/>
      <w:r>
        <w:rPr>
          <w:rFonts w:hint="eastAsia"/>
          <w:lang w:val="en-US" w:eastAsia="zh-CN"/>
        </w:rPr>
        <w:t>内审</w:t>
      </w:r>
      <w:bookmarkEnd w:id="53"/>
    </w:p>
    <w:p w14:paraId="505370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为持续监督与改进公司运维服务管理体系的符合性与有效性，公司建立了内审管理制度，以</w:t>
      </w:r>
      <w:r>
        <w:rPr>
          <w:rFonts w:hint="default"/>
        </w:rPr>
        <w:t> 内审次数 为核心过程指标，目标值为每年不少于1次，并按年度进行考核。质量管理部作为内审组织与执行部门，负责制定审计计划、实施审计活动并输出审计报告，通过系统化的审核识别体系运行中的改进机会，推动管理体系持续完善。</w:t>
      </w:r>
    </w:p>
    <w:p w14:paraId="6773678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23654"/>
      <w:r>
        <w:rPr>
          <w:rFonts w:hint="eastAsia"/>
          <w:lang w:val="en-US" w:eastAsia="zh-CN"/>
        </w:rPr>
        <w:t>管评</w:t>
      </w:r>
      <w:bookmarkEnd w:id="54"/>
    </w:p>
    <w:p w14:paraId="2D01909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为确保公司运维服务管理体系的适宜性、充分性和有效性，并与战略方向保持一致，公司建立了管理评审机制，以</w:t>
      </w:r>
      <w:r>
        <w:rPr>
          <w:rFonts w:hint="default"/>
        </w:rPr>
        <w:t> 管理评审次数 为核心过程指标，目标值为每年不少于1次，并按年度进行考核。由运维部牵头组织，公司管理层及相关部门负责人参与，依据内外部审核结果、服务绩效数据及客户反馈等信息进行系统性评审，输出决策与改进计划，驱动管理体系与业务发展的战略协同。</w:t>
      </w:r>
    </w:p>
    <w:p w14:paraId="6FC714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5" w:name="_Toc11077"/>
      <w:r>
        <w:rPr>
          <w:rFonts w:hint="eastAsia"/>
          <w:lang w:val="en-US" w:eastAsia="zh-CN"/>
        </w:rPr>
        <w:t>客户满意度</w:t>
      </w:r>
      <w:bookmarkEnd w:id="55"/>
    </w:p>
    <w:p w14:paraId="2D067E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为系统获取客户对服务质量的评价，识别改进机会并提升客户忠诚度，公司建立了客户满意度调查机制，以</w:t>
      </w:r>
      <w:r>
        <w:rPr>
          <w:rFonts w:hint="default"/>
        </w:rPr>
        <w:t> 客户满意度 为核心结果指标，目标值为不低于90%，并按半年度进行考核。质量管理部负责调查问卷的设计、发放、回收与数据分析，形成满意度调查报告。调查结果将作为服务改进、管理决策及绩效考核的重要输入，形成“评价-反馈-改进”的管理闭环</w:t>
      </w:r>
      <w:r>
        <w:rPr>
          <w:rFonts w:hint="default"/>
          <w:lang w:val="en-US" w:eastAsia="zh-CN"/>
        </w:rPr>
        <w:t>。</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8AE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9AE4535"/>
    <w:multiLevelType w:val="multilevel"/>
    <w:tmpl w:val="B9AE453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C7764DD"/>
    <w:multiLevelType w:val="singleLevel"/>
    <w:tmpl w:val="EC7764DD"/>
    <w:lvl w:ilvl="0" w:tentative="0">
      <w:start w:val="1"/>
      <w:numFmt w:val="decimal"/>
      <w:lvlText w:val="%1."/>
      <w:lvlJc w:val="left"/>
      <w:pPr>
        <w:ind w:left="425" w:hanging="425"/>
      </w:pPr>
      <w:rPr>
        <w:rFonts w:hint="default"/>
      </w:rPr>
    </w:lvl>
  </w:abstractNum>
  <w:abstractNum w:abstractNumId="3">
    <w:nsid w:val="0F92519D"/>
    <w:multiLevelType w:val="singleLevel"/>
    <w:tmpl w:val="0F92519D"/>
    <w:lvl w:ilvl="0" w:tentative="0">
      <w:start w:val="1"/>
      <w:numFmt w:val="decimal"/>
      <w:lvlText w:val="%1."/>
      <w:lvlJc w:val="left"/>
      <w:pPr>
        <w:ind w:left="425" w:hanging="425"/>
      </w:pPr>
      <w:rPr>
        <w:rFonts w:hint="default"/>
      </w:rPr>
    </w:lvl>
  </w:abstractNum>
  <w:abstractNum w:abstractNumId="4">
    <w:nsid w:val="52F5C425"/>
    <w:multiLevelType w:val="singleLevel"/>
    <w:tmpl w:val="52F5C425"/>
    <w:lvl w:ilvl="0" w:tentative="0">
      <w:start w:val="1"/>
      <w:numFmt w:val="decimal"/>
      <w:lvlText w:val="%1."/>
      <w:lvlJc w:val="left"/>
      <w:pPr>
        <w:ind w:left="425" w:hanging="425"/>
      </w:pPr>
      <w:rPr>
        <w:rFonts w:hint="default"/>
      </w:rPr>
    </w:lvl>
  </w:abstractNum>
  <w:abstractNum w:abstractNumId="5">
    <w:nsid w:val="547BE159"/>
    <w:multiLevelType w:val="singleLevel"/>
    <w:tmpl w:val="547BE159"/>
    <w:lvl w:ilvl="0" w:tentative="0">
      <w:start w:val="1"/>
      <w:numFmt w:val="decimal"/>
      <w:lvlText w:val="(%1)"/>
      <w:lvlJc w:val="left"/>
      <w:pPr>
        <w:tabs>
          <w:tab w:val="left" w:pos="420"/>
        </w:tabs>
        <w:ind w:left="845" w:hanging="425"/>
      </w:pPr>
      <w:rPr>
        <w:rFonts w:hint="default"/>
      </w:rPr>
    </w:lvl>
  </w:abstractNum>
  <w:abstractNum w:abstractNumId="6">
    <w:nsid w:val="60915A31"/>
    <w:multiLevelType w:val="singleLevel"/>
    <w:tmpl w:val="60915A31"/>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566D5"/>
    <w:rsid w:val="031713E0"/>
    <w:rsid w:val="03B31109"/>
    <w:rsid w:val="068723D9"/>
    <w:rsid w:val="077E1A2E"/>
    <w:rsid w:val="079B1AAB"/>
    <w:rsid w:val="08251EAA"/>
    <w:rsid w:val="0E745939"/>
    <w:rsid w:val="0E9D4E90"/>
    <w:rsid w:val="11BC7DA1"/>
    <w:rsid w:val="14237BE5"/>
    <w:rsid w:val="14BD0B0F"/>
    <w:rsid w:val="17BA0860"/>
    <w:rsid w:val="1C743740"/>
    <w:rsid w:val="28414686"/>
    <w:rsid w:val="28996270"/>
    <w:rsid w:val="29014AD4"/>
    <w:rsid w:val="2A0D0CC4"/>
    <w:rsid w:val="2BBA09D7"/>
    <w:rsid w:val="312844AD"/>
    <w:rsid w:val="32A547A9"/>
    <w:rsid w:val="346E05B1"/>
    <w:rsid w:val="3640367D"/>
    <w:rsid w:val="36DD6847"/>
    <w:rsid w:val="37991DE9"/>
    <w:rsid w:val="37C36E66"/>
    <w:rsid w:val="39616936"/>
    <w:rsid w:val="3CFE5135"/>
    <w:rsid w:val="48E924A4"/>
    <w:rsid w:val="4CCE5C39"/>
    <w:rsid w:val="4D054A9B"/>
    <w:rsid w:val="4D3F08E5"/>
    <w:rsid w:val="4D785BA5"/>
    <w:rsid w:val="569A3030"/>
    <w:rsid w:val="585F1E3B"/>
    <w:rsid w:val="5BE70AC5"/>
    <w:rsid w:val="5C6B34A4"/>
    <w:rsid w:val="612E2CF2"/>
    <w:rsid w:val="62436985"/>
    <w:rsid w:val="63E37F32"/>
    <w:rsid w:val="65744A4C"/>
    <w:rsid w:val="6AD9782B"/>
    <w:rsid w:val="6E3556C0"/>
    <w:rsid w:val="6EA8157F"/>
    <w:rsid w:val="71BC3A02"/>
    <w:rsid w:val="721B5E3C"/>
    <w:rsid w:val="723C402F"/>
    <w:rsid w:val="73977025"/>
    <w:rsid w:val="78872FBC"/>
    <w:rsid w:val="79344EA7"/>
    <w:rsid w:val="7AF81B85"/>
    <w:rsid w:val="7C164308"/>
    <w:rsid w:val="7E5A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5095</Words>
  <Characters>5546</Characters>
  <Lines>0</Lines>
  <Paragraphs>0</Paragraphs>
  <TotalTime>0</TotalTime>
  <ScaleCrop>false</ScaleCrop>
  <LinksUpToDate>false</LinksUpToDate>
  <CharactersWithSpaces>5743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2026-04-24T20:51:15Z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