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F786A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1912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29E2B24B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4404"/>
      <w:r>
        <w:rPr>
          <w:rFonts w:hint="eastAsia"/>
          <w:lang w:val="en-US" w:eastAsia="zh-CN"/>
        </w:rPr>
        <w:t>2026年度1-3月运维服务能力管理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报告</w:t>
      </w:r>
      <w:bookmarkEnd w:id="1"/>
    </w:p>
    <w:p w14:paraId="6527E7A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6320FF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C06F6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 w14:paraId="41A8B1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2026.3.30</w:t>
            </w:r>
          </w:p>
        </w:tc>
      </w:tr>
      <w:tr w14:paraId="4BCE75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502DF3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A8A0B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2026.3.30</w:t>
            </w:r>
          </w:p>
        </w:tc>
      </w:tr>
      <w:tr w14:paraId="11AAA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7B3823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483831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2026.3.30</w:t>
            </w:r>
          </w:p>
        </w:tc>
      </w:tr>
    </w:tbl>
    <w:p w14:paraId="15BB41A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0D22661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00C78C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0570FD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35FBA6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60CDD5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3F7E75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17FFB0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355DFB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FD899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13B4D2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2DA1D6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0FDF9F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631183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 w14:paraId="3EEC60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464CF0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1C8830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7AC12F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33B9EB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3FA04A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15A8B6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FD117C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E9554F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12652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1451EA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0CEAB6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5105E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D1473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F43211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5BBCDA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E2FB1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659ACA1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A7208A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C977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DD450B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E2A5DE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612CF3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A9C364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AA3E77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71B56C5">
          <w:pPr>
            <w:pStyle w:val="16"/>
            <w:tabs>
              <w:tab w:val="right" w:leader="dot" w:pos="8306"/>
            </w:tabs>
          </w:pPr>
          <w:bookmarkStart w:id="54" w:name="_GoBack"/>
          <w:bookmarkEnd w:id="54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_Toc21912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_Toc21912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23CDD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_Toc4404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2026年度1-3月运维服务能力管理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eastAsia"/>
              <w:lang w:val="en-US" w:eastAsia="zh-CN"/>
            </w:rPr>
            <w:t>报告</w:t>
          </w:r>
          <w:r>
            <w:tab/>
          </w:r>
          <w:r>
            <w:fldChar w:fldCharType="begin"/>
          </w:r>
          <w:r>
            <w:instrText xml:space="preserve"> PAGEREF _Toc4404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F916D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_Toc20173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运维服务能力管理报告</w:t>
          </w:r>
          <w:r>
            <w:tab/>
          </w:r>
          <w:r>
            <w:fldChar w:fldCharType="begin"/>
          </w:r>
          <w:r>
            <w:instrText xml:space="preserve"> PAGEREF _Toc20173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D4C23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人员管理报告</w:t>
          </w:r>
          <w:r>
            <w:tab/>
          </w:r>
          <w:r>
            <w:fldChar w:fldCharType="begin"/>
          </w:r>
          <w:r>
            <w:instrText xml:space="preserve"> PAGEREF _Toc2476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E0359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_Toc28477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1.1.1. </w:t>
          </w:r>
          <w:r>
            <w:t>人员储备详情</w:t>
          </w:r>
          <w:r>
            <w:tab/>
          </w:r>
          <w:r>
            <w:fldChar w:fldCharType="begin"/>
          </w:r>
          <w:r>
            <w:instrText xml:space="preserve"> PAGEREF _Toc28477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B521D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1.1.2. </w:t>
          </w:r>
          <w:r>
            <w:t>人员招聘情况详情</w:t>
          </w:r>
          <w:r>
            <w:tab/>
          </w:r>
          <w:r>
            <w:fldChar w:fldCharType="begin"/>
          </w:r>
          <w:r>
            <w:instrText xml:space="preserve"> PAGEREF _Toc26729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F6F2E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_Toc31226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1.1.3. </w:t>
          </w:r>
          <w:r>
            <w:t>人员备份详情</w:t>
          </w:r>
          <w:r>
            <w:tab/>
          </w:r>
          <w:r>
            <w:fldChar w:fldCharType="begin"/>
          </w:r>
          <w:r>
            <w:instrText xml:space="preserve"> PAGEREF _Toc31226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5C9E2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_Toc7677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1.1.4. </w:t>
          </w:r>
          <w:r>
            <w:t>人员培训情况详情</w:t>
          </w:r>
          <w:r>
            <w:tab/>
          </w:r>
          <w:r>
            <w:fldChar w:fldCharType="begin"/>
          </w:r>
          <w:r>
            <w:instrText xml:space="preserve"> PAGEREF _Toc7677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59E85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_Toc30722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1.1.5. </w:t>
          </w:r>
          <w:r>
            <w:rPr>
              <w:rFonts w:hint="eastAsia"/>
              <w:lang w:val="en-US" w:eastAsia="zh-CN"/>
            </w:rPr>
            <w:t>人员绩效考核管理报告</w:t>
          </w:r>
          <w:r>
            <w:tab/>
          </w:r>
          <w:r>
            <w:fldChar w:fldCharType="begin"/>
          </w:r>
          <w:r>
            <w:instrText xml:space="preserve"> PAGEREF _Toc30722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D3E7A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_Toc26426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1.1.6. </w:t>
          </w:r>
          <w:r>
            <w:rPr>
              <w:rFonts w:hint="eastAsia"/>
              <w:lang w:val="en-US" w:eastAsia="zh-CN"/>
            </w:rPr>
            <w:t>人员技能评定管理报告</w:t>
          </w:r>
          <w:r>
            <w:tab/>
          </w:r>
          <w:r>
            <w:fldChar w:fldCharType="begin"/>
          </w:r>
          <w:r>
            <w:instrText xml:space="preserve"> PAGEREF _Toc26426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83712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资源管理报告</w:t>
          </w:r>
          <w:r>
            <w:tab/>
          </w:r>
          <w:r>
            <w:fldChar w:fldCharType="begin"/>
          </w:r>
          <w:r>
            <w:instrText xml:space="preserve"> PAGEREF _Toc29544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BAB1E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1.2.1. </w:t>
          </w:r>
          <w:r>
            <w:rPr>
              <w:rFonts w:hint="eastAsia"/>
              <w:lang w:val="en-US" w:eastAsia="zh-CN"/>
            </w:rPr>
            <w:t>运维工具管理报告</w:t>
          </w:r>
          <w:r>
            <w:tab/>
          </w:r>
          <w:r>
            <w:fldChar w:fldCharType="begin"/>
          </w:r>
          <w:r>
            <w:instrText xml:space="preserve"> PAGEREF _Toc3149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654B9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1.2.2. </w:t>
          </w:r>
          <w:r>
            <w:rPr>
              <w:rFonts w:hint="eastAsia"/>
              <w:lang w:val="en-US" w:eastAsia="zh-CN"/>
            </w:rPr>
            <w:t>服务台管理报告</w:t>
          </w:r>
          <w:r>
            <w:tab/>
          </w:r>
          <w:r>
            <w:fldChar w:fldCharType="begin"/>
          </w:r>
          <w:r>
            <w:instrText xml:space="preserve"> PAGEREF _Toc26755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4DE1A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1.2.3. </w:t>
          </w:r>
          <w:r>
            <w:rPr>
              <w:rFonts w:hint="eastAsia"/>
              <w:lang w:val="en-US" w:eastAsia="zh-CN"/>
            </w:rPr>
            <w:t>服务知识管理报告</w:t>
          </w:r>
          <w:r>
            <w:tab/>
          </w:r>
          <w:r>
            <w:fldChar w:fldCharType="begin"/>
          </w:r>
          <w:r>
            <w:instrText xml:space="preserve"> PAGEREF _Toc416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B78A7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1.2.4. </w:t>
          </w:r>
          <w:r>
            <w:rPr>
              <w:rFonts w:hint="eastAsia"/>
              <w:lang w:val="en-US" w:eastAsia="zh-CN"/>
            </w:rPr>
            <w:t>最终软件库管理报告</w:t>
          </w:r>
          <w:r>
            <w:tab/>
          </w:r>
          <w:r>
            <w:fldChar w:fldCharType="begin"/>
          </w:r>
          <w:r>
            <w:instrText xml:space="preserve"> PAGEREF _Toc1469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73B1E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_Toc16634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1.2.5. </w:t>
          </w:r>
          <w:r>
            <w:rPr>
              <w:rFonts w:hint="eastAsia"/>
              <w:lang w:val="en-US" w:eastAsia="zh-CN"/>
            </w:rPr>
            <w:t>服务数据管理报告</w:t>
          </w:r>
          <w:r>
            <w:tab/>
          </w:r>
          <w:r>
            <w:fldChar w:fldCharType="begin"/>
          </w:r>
          <w:r>
            <w:instrText xml:space="preserve"> PAGEREF _Toc16634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89C94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_Toc22205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1.2.6. </w:t>
          </w:r>
          <w:r>
            <w:rPr>
              <w:rFonts w:hint="eastAsia"/>
              <w:lang w:val="en-US" w:eastAsia="zh-CN"/>
            </w:rPr>
            <w:t>备件库管理报告</w:t>
          </w:r>
          <w:r>
            <w:tab/>
          </w:r>
          <w:r>
            <w:fldChar w:fldCharType="begin"/>
          </w:r>
          <w:r>
            <w:instrText xml:space="preserve"> PAGEREF _Toc22205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30B77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_Toc9331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技术管理报告</w:t>
          </w:r>
          <w:r>
            <w:tab/>
          </w:r>
          <w:r>
            <w:fldChar w:fldCharType="begin"/>
          </w:r>
          <w:r>
            <w:instrText xml:space="preserve"> PAGEREF _Toc9331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10C50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_Toc7681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1.3.1. </w:t>
          </w:r>
          <w:r>
            <w:rPr>
              <w:rFonts w:hint="eastAsia"/>
              <w:lang w:val="en-US" w:eastAsia="zh-CN"/>
            </w:rPr>
            <w:t>各项目研发进展情况</w:t>
          </w:r>
          <w:r>
            <w:tab/>
          </w:r>
          <w:r>
            <w:fldChar w:fldCharType="begin"/>
          </w:r>
          <w:r>
            <w:instrText xml:space="preserve"> PAGEREF _Toc7681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307D5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_Toc6711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1.3.2. </w:t>
          </w:r>
          <w:r>
            <w:rPr>
              <w:rFonts w:hint="eastAsia"/>
              <w:lang w:val="en-US" w:eastAsia="zh-CN"/>
            </w:rPr>
            <w:t>研发成果</w:t>
          </w:r>
          <w:r>
            <w:tab/>
          </w:r>
          <w:r>
            <w:fldChar w:fldCharType="begin"/>
          </w:r>
          <w:r>
            <w:instrText xml:space="preserve"> PAGEREF _Toc6711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04778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_Toc30755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1.3.3. </w:t>
          </w:r>
          <w:r>
            <w:rPr>
              <w:rFonts w:hint="eastAsia"/>
              <w:lang w:val="en-US" w:eastAsia="zh-CN"/>
            </w:rPr>
            <w:t>资金使用情况</w:t>
          </w:r>
          <w:r>
            <w:tab/>
          </w:r>
          <w:r>
            <w:fldChar w:fldCharType="begin"/>
          </w:r>
          <w:r>
            <w:instrText xml:space="preserve"> PAGEREF _Toc30755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FAA43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过程管理报告</w:t>
          </w:r>
          <w:r>
            <w:tab/>
          </w:r>
          <w:r>
            <w:fldChar w:fldCharType="begin"/>
          </w:r>
          <w:r>
            <w:instrText xml:space="preserve"> PAGEREF _Toc32556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3D8FC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过程框架管理报告</w:t>
          </w:r>
          <w:r>
            <w:tab/>
          </w:r>
          <w:r>
            <w:fldChar w:fldCharType="begin"/>
          </w:r>
          <w:r>
            <w:instrText xml:space="preserve"> PAGEREF _Toc32342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D6EBB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_Toc8182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服务级别管理报告</w:t>
          </w:r>
          <w:r>
            <w:tab/>
          </w:r>
          <w:r>
            <w:fldChar w:fldCharType="begin"/>
          </w:r>
          <w:r>
            <w:instrText xml:space="preserve"> PAGEREF _Toc8182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5B295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1.4.3. </w:t>
          </w:r>
          <w:r>
            <w:rPr>
              <w:rFonts w:hint="eastAsia"/>
              <w:lang w:val="en-US" w:eastAsia="zh-CN"/>
            </w:rPr>
            <w:t>服务报告管理报告</w:t>
          </w:r>
          <w:r>
            <w:tab/>
          </w:r>
          <w:r>
            <w:fldChar w:fldCharType="begin"/>
          </w:r>
          <w:r>
            <w:instrText xml:space="preserve"> PAGEREF _Toc2542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5481A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_Toc6895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1.4.4. </w:t>
          </w:r>
          <w:r>
            <w:rPr>
              <w:rFonts w:hint="eastAsia"/>
              <w:lang w:val="en-US" w:eastAsia="zh-CN"/>
            </w:rPr>
            <w:t>事件管理报告</w:t>
          </w:r>
          <w:r>
            <w:tab/>
          </w:r>
          <w:r>
            <w:fldChar w:fldCharType="begin"/>
          </w:r>
          <w:r>
            <w:instrText xml:space="preserve"> PAGEREF _Toc6895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14C78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1.4.5. </w:t>
          </w:r>
          <w:r>
            <w:rPr>
              <w:rFonts w:hint="eastAsia"/>
              <w:lang w:val="en-US" w:eastAsia="zh-CN"/>
            </w:rPr>
            <w:t>问题管理报告</w:t>
          </w:r>
          <w:r>
            <w:tab/>
          </w:r>
          <w:r>
            <w:fldChar w:fldCharType="begin"/>
          </w:r>
          <w:r>
            <w:instrText xml:space="preserve"> PAGEREF _Toc2275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B51FB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_Toc29452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1.4.6. </w:t>
          </w:r>
          <w:r>
            <w:rPr>
              <w:rFonts w:hint="eastAsia"/>
              <w:lang w:val="en-US" w:eastAsia="zh-CN"/>
            </w:rPr>
            <w:t>变更管理报告</w:t>
          </w:r>
          <w:r>
            <w:tab/>
          </w:r>
          <w:r>
            <w:fldChar w:fldCharType="begin"/>
          </w:r>
          <w:r>
            <w:instrText xml:space="preserve"> PAGEREF _Toc29452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E99D6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_Toc5044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1.4.7. </w:t>
          </w:r>
          <w:r>
            <w:rPr>
              <w:rFonts w:hint="eastAsia"/>
              <w:lang w:val="en-US" w:eastAsia="zh-CN"/>
            </w:rPr>
            <w:t>发布管理报告</w:t>
          </w:r>
          <w:r>
            <w:tab/>
          </w:r>
          <w:r>
            <w:fldChar w:fldCharType="begin"/>
          </w:r>
          <w:r>
            <w:instrText xml:space="preserve"> PAGEREF _Toc5044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A40C2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_Toc25289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1.4.8. </w:t>
          </w:r>
          <w:r>
            <w:rPr>
              <w:rFonts w:hint="eastAsia"/>
              <w:lang w:val="en-US" w:eastAsia="zh-CN"/>
            </w:rPr>
            <w:t>配置管理报告</w:t>
          </w:r>
          <w:r>
            <w:tab/>
          </w:r>
          <w:r>
            <w:fldChar w:fldCharType="begin"/>
          </w:r>
          <w:r>
            <w:instrText xml:space="preserve"> PAGEREF _Toc25289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FB737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_Toc14098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1.4.9. </w:t>
          </w:r>
          <w:r>
            <w:rPr>
              <w:rFonts w:hint="eastAsia"/>
              <w:lang w:val="en-US" w:eastAsia="zh-CN"/>
            </w:rPr>
            <w:t>服务可用性和连续性管理报告</w:t>
          </w:r>
          <w:r>
            <w:tab/>
          </w:r>
          <w:r>
            <w:fldChar w:fldCharType="begin"/>
          </w:r>
          <w:r>
            <w:instrText xml:space="preserve"> PAGEREF _Toc14098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E8014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_Toc14223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1.4.10. </w:t>
          </w:r>
          <w:r>
            <w:rPr>
              <w:rFonts w:hint="eastAsia"/>
              <w:lang w:val="en-US" w:eastAsia="zh-CN"/>
            </w:rPr>
            <w:t>容量管理报告</w:t>
          </w:r>
          <w:r>
            <w:tab/>
          </w:r>
          <w:r>
            <w:fldChar w:fldCharType="begin"/>
          </w:r>
          <w:r>
            <w:instrText xml:space="preserve"> PAGEREF _Toc14223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7E9A5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1.4.11. </w:t>
          </w:r>
          <w:r>
            <w:rPr>
              <w:rFonts w:hint="eastAsia"/>
              <w:lang w:val="en-US" w:eastAsia="zh-CN"/>
            </w:rPr>
            <w:t>信息安全管理报告</w:t>
          </w:r>
          <w:r>
            <w:tab/>
          </w:r>
          <w:r>
            <w:fldChar w:fldCharType="begin"/>
          </w:r>
          <w:r>
            <w:instrText xml:space="preserve"> PAGEREF _Toc14396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24FFD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1.5. </w:t>
          </w:r>
          <w:r>
            <w:rPr>
              <w:rFonts w:hint="eastAsia"/>
              <w:lang w:val="en-US" w:eastAsia="zh-CN"/>
            </w:rPr>
            <w:t>交付管理报告</w:t>
          </w:r>
          <w:r>
            <w:tab/>
          </w:r>
          <w:r>
            <w:fldChar w:fldCharType="begin"/>
          </w:r>
          <w:r>
            <w:instrText xml:space="preserve"> PAGEREF _Toc310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00F87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_Toc4347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1.6. </w:t>
          </w:r>
          <w:r>
            <w:rPr>
              <w:rFonts w:hint="eastAsia"/>
              <w:lang w:val="en-US" w:eastAsia="zh-CN"/>
            </w:rPr>
            <w:t>应急管理报告</w:t>
          </w:r>
          <w:r>
            <w:tab/>
          </w:r>
          <w:r>
            <w:fldChar w:fldCharType="begin"/>
          </w:r>
          <w:r>
            <w:instrText xml:space="preserve"> PAGEREF _Toc4347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EA98D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 </w:t>
          </w:r>
          <w:r>
            <w:rPr>
              <w:rFonts w:hint="eastAsia"/>
              <w:lang w:val="en-US" w:eastAsia="zh-CN"/>
            </w:rPr>
            <w:t>质量管理报告</w:t>
          </w:r>
          <w:r>
            <w:tab/>
          </w:r>
          <w:r>
            <w:fldChar w:fldCharType="begin"/>
          </w:r>
          <w:r>
            <w:instrText xml:space="preserve"> PAGEREF _Toc32387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8D097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1.7.1. </w:t>
          </w:r>
          <w:r>
            <w:rPr>
              <w:rFonts w:hint="eastAsia"/>
              <w:lang w:val="en-US" w:eastAsia="zh-CN"/>
            </w:rPr>
            <w:t>内审</w:t>
          </w:r>
          <w:r>
            <w:tab/>
          </w:r>
          <w:r>
            <w:fldChar w:fldCharType="begin"/>
          </w:r>
          <w:r>
            <w:instrText xml:space="preserve"> PAGEREF _Toc2193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D6B1A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_Toc14054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1.7.2. </w:t>
          </w:r>
          <w:r>
            <w:rPr>
              <w:rFonts w:hint="eastAsia"/>
              <w:lang w:val="en-US" w:eastAsia="zh-CN"/>
            </w:rPr>
            <w:t>管评</w:t>
          </w:r>
          <w:r>
            <w:tab/>
          </w:r>
          <w:r>
            <w:fldChar w:fldCharType="begin"/>
          </w:r>
          <w:r>
            <w:instrText xml:space="preserve"> PAGEREF _Toc14054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3DF60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_Toc14624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1.7.3. </w:t>
          </w:r>
          <w:r>
            <w:rPr>
              <w:rFonts w:hint="eastAsia"/>
              <w:lang w:val="en-US" w:eastAsia="zh-CN"/>
            </w:rPr>
            <w:t>客户满意度</w:t>
          </w:r>
          <w:r>
            <w:tab/>
          </w:r>
          <w:r>
            <w:fldChar w:fldCharType="begin"/>
          </w:r>
          <w:r>
            <w:instrText xml:space="preserve"> PAGEREF _Toc14624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43905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_Toc29366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1.7.4. </w:t>
          </w:r>
          <w:r>
            <w:rPr>
              <w:rFonts w:hint="eastAsia"/>
              <w:lang w:val="en-US" w:eastAsia="zh-CN"/>
            </w:rPr>
            <w:t>客户投诉</w:t>
          </w:r>
          <w:r>
            <w:tab/>
          </w:r>
          <w:r>
            <w:fldChar w:fldCharType="begin"/>
          </w:r>
          <w:r>
            <w:instrText xml:space="preserve"> PAGEREF _Toc29366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A8D38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792F9D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3E958F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" w:name="_Toc20173"/>
      <w:r>
        <w:rPr>
          <w:rFonts w:hint="eastAsia"/>
          <w:lang w:val="en-US" w:eastAsia="zh-CN"/>
        </w:rPr>
        <w:t>运维服务能力管理报告</w:t>
      </w:r>
      <w:bookmarkEnd w:id="2"/>
    </w:p>
    <w:p w14:paraId="24DB97F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2476"/>
      <w:r>
        <w:rPr>
          <w:rFonts w:hint="eastAsia"/>
          <w:lang w:val="en-US" w:eastAsia="zh-CN"/>
        </w:rPr>
        <w:t>人员管理报告</w:t>
      </w:r>
      <w:bookmarkEnd w:id="3"/>
    </w:p>
    <w:p w14:paraId="0FE4D1D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heading_3"/>
      <w:bookmarkStart w:id="5" w:name="_Toc9108"/>
      <w:bookmarkStart w:id="6" w:name="_Toc28477"/>
      <w:r>
        <w:t>人员储备详情</w:t>
      </w:r>
      <w:bookmarkEnd w:id="4"/>
      <w:bookmarkEnd w:id="5"/>
      <w:bookmarkEnd w:id="6"/>
    </w:p>
    <w:p w14:paraId="68C027E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根据《2026年度人员管理计划》，2026年储备岗位包括：运维项目经理（计划完成时间4月）、视频监控运维工程师（计划完成时间6月）、开发工程师（运维工具方向）（计划完成时间7月）。</w:t>
      </w:r>
    </w:p>
    <w:p w14:paraId="2FF31F5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第一季度上述储备任务尚在进行中，未到计划完成节点，各项工作按计划正常推进。</w:t>
      </w:r>
    </w:p>
    <w:p w14:paraId="23EF95E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人员储备的考核指标是每季度储备计划完成率，计算方式为：实际完成储备人员数量/应储备人员总数量×100%。目标值是≥95%。</w:t>
      </w:r>
    </w:p>
    <w:p w14:paraId="28B4EB3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截至2026年3月底，储备计划按既定节点推进，第一季度储备计划完成率为100%，满足考核指标要求。</w:t>
      </w:r>
    </w:p>
    <w:p w14:paraId="5318E37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_Toc29692"/>
      <w:bookmarkStart w:id="8" w:name="heading_6"/>
      <w:bookmarkStart w:id="9" w:name="_Toc26729"/>
      <w:r>
        <w:t>人员招聘情况详情</w:t>
      </w:r>
      <w:bookmarkEnd w:id="7"/>
      <w:bookmarkEnd w:id="8"/>
      <w:bookmarkEnd w:id="9"/>
    </w:p>
    <w:p w14:paraId="1635D19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招聘计划完成情况如下：</w:t>
      </w:r>
    </w:p>
    <w:tbl>
      <w:tblPr>
        <w:tblStyle w:val="20"/>
        <w:tblW w:w="8517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1514"/>
        <w:gridCol w:w="1872"/>
        <w:gridCol w:w="1585"/>
        <w:gridCol w:w="1403"/>
        <w:gridCol w:w="1522"/>
      </w:tblGrid>
      <w:tr w14:paraId="69A0DD5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2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EB202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51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49348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需求部门</w:t>
            </w:r>
          </w:p>
        </w:tc>
        <w:tc>
          <w:tcPr>
            <w:tcW w:w="187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18253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416F5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4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7793D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152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02F6B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6ABB6C1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FFD81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E9338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8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1BC72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视频监控运维工程师（2人）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8B508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2026年3月</w:t>
            </w:r>
          </w:p>
        </w:tc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A20D1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2026年3月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4B6DF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已完成</w:t>
            </w:r>
          </w:p>
        </w:tc>
      </w:tr>
      <w:tr w14:paraId="2889666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7B7D3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31751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8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2AD76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运维工程师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85D17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2026年4月</w:t>
            </w:r>
          </w:p>
        </w:tc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05EA9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CDC1D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按计划推进</w:t>
            </w:r>
          </w:p>
        </w:tc>
      </w:tr>
      <w:tr w14:paraId="3B96729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A4E95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3DECE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18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44FE3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开发工程师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EBCC7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2026年5月</w:t>
            </w:r>
          </w:p>
        </w:tc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361C6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EB18E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按计划推进</w:t>
            </w:r>
          </w:p>
        </w:tc>
      </w:tr>
      <w:tr w14:paraId="5093643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A2411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C37D5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服务台</w:t>
            </w:r>
          </w:p>
        </w:tc>
        <w:tc>
          <w:tcPr>
            <w:tcW w:w="18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DBFAE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服务台专员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7CF61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2026年6月</w:t>
            </w:r>
          </w:p>
        </w:tc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9490C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47B8C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按计划推进</w:t>
            </w:r>
          </w:p>
        </w:tc>
      </w:tr>
      <w:tr w14:paraId="0FEF6FD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02167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DA9A2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质量管理部</w:t>
            </w:r>
          </w:p>
        </w:tc>
        <w:tc>
          <w:tcPr>
            <w:tcW w:w="18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F9CCF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质量管理专员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A5B07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2026年7月</w:t>
            </w:r>
          </w:p>
        </w:tc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AAB4E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F6793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按计划推进</w:t>
            </w:r>
          </w:p>
        </w:tc>
      </w:tr>
    </w:tbl>
    <w:p w14:paraId="44B2E75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人员招聘的考核指标是每季度招聘计划达成率，计算方式为：实际聘用人数/计划招聘人数×100%。目标值是≥95%。</w:t>
      </w:r>
    </w:p>
    <w:p w14:paraId="5CB4B27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截至2026年3月底，第一季度计划招聘2人（视频监控运维工程师2人），实际到岗2人，招聘计划达成率为100%，满足考核指标要求。</w:t>
      </w:r>
    </w:p>
    <w:p w14:paraId="6533942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_Toc9495"/>
      <w:bookmarkStart w:id="11" w:name="heading_9"/>
      <w:bookmarkStart w:id="12" w:name="_Toc31226"/>
      <w:r>
        <w:t>人员备份详情</w:t>
      </w:r>
      <w:bookmarkEnd w:id="10"/>
      <w:bookmarkEnd w:id="11"/>
      <w:bookmarkEnd w:id="12"/>
    </w:p>
    <w:p w14:paraId="3804F48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2026年第一季度备份计划执行情况如下：</w:t>
      </w:r>
    </w:p>
    <w:tbl>
      <w:tblPr>
        <w:tblStyle w:val="20"/>
        <w:tblW w:w="8909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1686"/>
        <w:gridCol w:w="1056"/>
        <w:gridCol w:w="1518"/>
        <w:gridCol w:w="1103"/>
        <w:gridCol w:w="1411"/>
        <w:gridCol w:w="1514"/>
      </w:tblGrid>
      <w:tr w14:paraId="27D7225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2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99A87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68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BA857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备份岗位</w:t>
            </w:r>
          </w:p>
        </w:tc>
        <w:tc>
          <w:tcPr>
            <w:tcW w:w="105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4D570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所属部门</w:t>
            </w:r>
          </w:p>
        </w:tc>
        <w:tc>
          <w:tcPr>
            <w:tcW w:w="15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C49C8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备份人员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7D28D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备份人数</w:t>
            </w:r>
          </w:p>
        </w:tc>
        <w:tc>
          <w:tcPr>
            <w:tcW w:w="141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655F0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计划到岗时间</w:t>
            </w:r>
          </w:p>
        </w:tc>
        <w:tc>
          <w:tcPr>
            <w:tcW w:w="151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8AF8A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3709B42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AFE9B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6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94A89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视频监控运维工程师</w:t>
            </w: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A561C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</w:t>
            </w:r>
          </w:p>
        </w:tc>
        <w:tc>
          <w:tcPr>
            <w:tcW w:w="15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9BC12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运维部经理/资深工程师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6BD8A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2人</w:t>
            </w:r>
          </w:p>
        </w:tc>
        <w:tc>
          <w:tcPr>
            <w:tcW w:w="14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E4776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2026年3月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0D32C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已完成</w:t>
            </w:r>
          </w:p>
        </w:tc>
      </w:tr>
      <w:tr w14:paraId="2CA1DEE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9CB54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6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68CEB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质量管理专员</w:t>
            </w: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6F157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质量管理部</w:t>
            </w:r>
          </w:p>
        </w:tc>
        <w:tc>
          <w:tcPr>
            <w:tcW w:w="15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A4E82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质量管理部经理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DC240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  <w:tc>
          <w:tcPr>
            <w:tcW w:w="14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47962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2026年5月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1F597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按计划推进</w:t>
            </w:r>
          </w:p>
        </w:tc>
      </w:tr>
    </w:tbl>
    <w:p w14:paraId="63C74A4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人员备份的考核指标是每季度备份计划达成率，计算方式为：实际备份人数/计划备份人数×100%。目标值是≥95%。</w:t>
      </w:r>
    </w:p>
    <w:p w14:paraId="4E35934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截至2026年3月底，第一季度备份计划达成率为100%，满足考核指标要求。</w:t>
      </w:r>
    </w:p>
    <w:p w14:paraId="4ADCBB6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_Toc31484"/>
      <w:bookmarkStart w:id="14" w:name="heading_12"/>
      <w:bookmarkStart w:id="15" w:name="_Toc7677"/>
      <w:bookmarkStart w:id="16" w:name="_Toc10776"/>
      <w:r>
        <w:t>人员培训情况详情</w:t>
      </w:r>
      <w:bookmarkEnd w:id="13"/>
      <w:bookmarkEnd w:id="14"/>
      <w:bookmarkEnd w:id="15"/>
    </w:p>
    <w:p w14:paraId="7A7CF31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根据《2026年度人员管理计划》培训执行情况如下：</w:t>
      </w:r>
    </w:p>
    <w:tbl>
      <w:tblPr>
        <w:tblStyle w:val="20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1"/>
        <w:gridCol w:w="2364"/>
        <w:gridCol w:w="1358"/>
        <w:gridCol w:w="1467"/>
        <w:gridCol w:w="1631"/>
        <w:gridCol w:w="1031"/>
      </w:tblGrid>
      <w:tr w14:paraId="335E7F3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7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E1F8E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36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A50AA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项目名称</w:t>
            </w:r>
          </w:p>
        </w:tc>
        <w:tc>
          <w:tcPr>
            <w:tcW w:w="135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AF7C7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14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AC306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163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F14A1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培训对象</w:t>
            </w:r>
          </w:p>
        </w:tc>
        <w:tc>
          <w:tcPr>
            <w:tcW w:w="103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03441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74045AF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8E089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4F9C0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ITSS新版标准深化培训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6724A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2026年1月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A32FA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2026年1月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FBE15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全体人员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BD714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完成</w:t>
            </w:r>
          </w:p>
        </w:tc>
      </w:tr>
      <w:tr w14:paraId="45B31C7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4F9CC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60418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视频监控新技术培训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8084F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2026年2月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A210D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2026年2月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CE643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运维相关人员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911BA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完成</w:t>
            </w:r>
          </w:p>
        </w:tc>
      </w:tr>
      <w:tr w14:paraId="0503524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19D69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9E1D7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服务台规范与沟通技巧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9F4C5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2026年3月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254B5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2026年3月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E784C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服务台专员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00264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完成</w:t>
            </w:r>
          </w:p>
        </w:tc>
      </w:tr>
      <w:tr w14:paraId="170F64E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F1DF2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bookmarkStart w:id="17" w:name="heading_13"/>
            <w:r>
              <w:t>4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7E97A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运维自动化工具培训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AFAEC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2026年4月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4BF2B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F9D18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运维相关人员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80BA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627F4A2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1E882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5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8113F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AIOps智能运维入门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74AF1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2026年5月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9626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452E1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研发/运维人员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B94C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56BAC79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2AF9E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6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25F0E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应急响应实战演练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BB3E4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2026年6月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B646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956F5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运维相关人员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4675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7FE690C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C2663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7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A3377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信息安全与合规培训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56D0B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2026年7月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1C62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CA575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全体人员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5F02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1C8BCC0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82321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8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C81DA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项目管理能力提升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ADE70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2026年8月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CEF9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D3638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项目经理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68A4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0B0441C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CCB01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9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BE5E0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数据分析与决策培训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C79C5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2026年9月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AEDE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DCAD6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质量/运维人员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8AE1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487CF66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819DA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10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9E184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日常运维典型案例分析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C8F8D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2026年10月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693C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3D9E2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运维相关人员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F5E8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606C2FD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A28E9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11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C87E4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前端技术培训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4B0B6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2026年11月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533B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541E5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研发相关人员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A985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478C44E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DD755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12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40333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年度总结与经验分享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4F176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2026年12月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B414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D3C7C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全体人员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8F86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bookmarkEnd w:id="17"/>
    </w:tbl>
    <w:p w14:paraId="377DB76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人员培训的考核指标是每季度培训计划完成率，计算方式为：实际培训次数/应培训次数×100%。目标值是≥95%。</w:t>
      </w:r>
    </w:p>
    <w:p w14:paraId="75A441B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截至2026年3月底，第一季度计划培训3场，实际完成3场，培训计划完成率为100%，满足考核指标要求。</w:t>
      </w:r>
    </w:p>
    <w:p w14:paraId="517687C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8" w:name="_Toc30722"/>
      <w:r>
        <w:rPr>
          <w:rFonts w:hint="eastAsia"/>
          <w:lang w:val="en-US" w:eastAsia="zh-CN"/>
        </w:rPr>
        <w:t>人员绩效考核管理</w:t>
      </w:r>
      <w:bookmarkEnd w:id="16"/>
      <w:r>
        <w:rPr>
          <w:rFonts w:hint="eastAsia"/>
          <w:lang w:val="en-US" w:eastAsia="zh-CN"/>
        </w:rPr>
        <w:t>报告</w:t>
      </w:r>
      <w:bookmarkEnd w:id="18"/>
    </w:p>
    <w:tbl>
      <w:tblPr>
        <w:tblStyle w:val="20"/>
        <w:tblW w:w="8566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2660"/>
        <w:gridCol w:w="2483"/>
        <w:gridCol w:w="1523"/>
      </w:tblGrid>
      <w:tr w14:paraId="3E1CD72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0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2E63A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考核周期与环节</w:t>
            </w:r>
          </w:p>
        </w:tc>
        <w:tc>
          <w:tcPr>
            <w:tcW w:w="26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6B829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计划要求</w:t>
            </w:r>
          </w:p>
        </w:tc>
        <w:tc>
          <w:tcPr>
            <w:tcW w:w="248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96F8A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实际执行情况</w:t>
            </w:r>
          </w:p>
        </w:tc>
        <w:tc>
          <w:tcPr>
            <w:tcW w:w="152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D33E7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状态与关键产出</w:t>
            </w:r>
          </w:p>
        </w:tc>
      </w:tr>
      <w:tr w14:paraId="2A93A69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9CEE3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季度考核（Q1）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6BDE4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每季度开展计划、辅导、评估、反馈的全流程</w:t>
            </w:r>
          </w:p>
        </w:tc>
        <w:tc>
          <w:tcPr>
            <w:tcW w:w="24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CA570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已100%完成第一季度的全部四个环节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2B437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已完成</w:t>
            </w:r>
          </w:p>
        </w:tc>
      </w:tr>
      <w:tr w14:paraId="172AFED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F54BD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绩效计划制定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6F1B1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季度初，上下级共同制定并确认绩效计划</w:t>
            </w:r>
          </w:p>
        </w:tc>
        <w:tc>
          <w:tcPr>
            <w:tcW w:w="24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7FDC3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季度初按时完成，目标基于部门分解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E894C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已成标准动作</w:t>
            </w:r>
          </w:p>
        </w:tc>
      </w:tr>
      <w:tr w14:paraId="0237F2A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041F9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绩效过程辅导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8B322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每月至少一次正式沟通与辅导</w:t>
            </w:r>
          </w:p>
        </w:tc>
        <w:tc>
          <w:tcPr>
            <w:tcW w:w="24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3F673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管理者普遍执行，关键事件记录完整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4A02D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已形成管理习惯</w:t>
            </w:r>
          </w:p>
        </w:tc>
      </w:tr>
      <w:tr w14:paraId="5CC2C51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26348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绩效考核评估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80583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季度结束5个工作日内完成评估</w:t>
            </w:r>
          </w:p>
        </w:tc>
        <w:tc>
          <w:tcPr>
            <w:tcW w:w="24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4E04C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准时完成，系统支持自评、上级评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CFD75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流程已固化</w:t>
            </w:r>
          </w:p>
        </w:tc>
      </w:tr>
      <w:tr w14:paraId="48E916B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B3A87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绩效结果反馈与面谈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72B03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评估后3个工作日内完成一对一沟通</w:t>
            </w:r>
          </w:p>
        </w:tc>
        <w:tc>
          <w:tcPr>
            <w:tcW w:w="24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AC179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全部完成，制定了改进计划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D56A7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实现闭环与改进</w:t>
            </w:r>
          </w:p>
        </w:tc>
      </w:tr>
    </w:tbl>
    <w:p w14:paraId="57302AD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人员绩效考核的考核指标是每季度绩效考核合格率，计算方式为：绩效考核合格人数/绩效考核总人数×100%。目标值是≥90%。</w:t>
      </w:r>
    </w:p>
    <w:p w14:paraId="6DA6390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截至2026年3月底，第一季度对运维人员进行考核，所有人考核成绩均合格，绩效考核合格率为100%，满足考核指标要求。</w:t>
      </w:r>
    </w:p>
    <w:p w14:paraId="7C027C4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9" w:name="_Toc5164"/>
      <w:bookmarkStart w:id="20" w:name="_Toc26426"/>
      <w:r>
        <w:rPr>
          <w:rFonts w:hint="eastAsia"/>
          <w:lang w:val="en-US" w:eastAsia="zh-CN"/>
        </w:rPr>
        <w:t>人员技能评定管理</w:t>
      </w:r>
      <w:bookmarkEnd w:id="19"/>
      <w:r>
        <w:rPr>
          <w:rFonts w:hint="eastAsia"/>
          <w:lang w:val="en-US" w:eastAsia="zh-CN"/>
        </w:rPr>
        <w:t>报告</w:t>
      </w:r>
      <w:bookmarkEnd w:id="20"/>
    </w:p>
    <w:p w14:paraId="0CFEB42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技能评定工作按年度计划推进，第一季度主要完成评定前的准备工作：</w:t>
      </w:r>
    </w:p>
    <w:tbl>
      <w:tblPr>
        <w:tblStyle w:val="20"/>
        <w:tblW w:w="8881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39"/>
        <w:gridCol w:w="3079"/>
        <w:gridCol w:w="2459"/>
        <w:gridCol w:w="1704"/>
      </w:tblGrid>
      <w:tr w14:paraId="673CBA1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63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0DF1A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评定关键环节</w:t>
            </w:r>
          </w:p>
        </w:tc>
        <w:tc>
          <w:tcPr>
            <w:tcW w:w="307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D1414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计划要求</w:t>
            </w:r>
          </w:p>
        </w:tc>
        <w:tc>
          <w:tcPr>
            <w:tcW w:w="245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51CF3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实际完成情况</w:t>
            </w:r>
          </w:p>
          <w:p w14:paraId="2C4C230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（截至3月底）</w:t>
            </w:r>
          </w:p>
        </w:tc>
        <w:tc>
          <w:tcPr>
            <w:tcW w:w="170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02F61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1B6CC9B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C9150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评定标准确认</w:t>
            </w:r>
          </w:p>
        </w:tc>
        <w:tc>
          <w:tcPr>
            <w:tcW w:w="30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3C537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沿用T1-T5五级技能模型</w:t>
            </w:r>
          </w:p>
        </w:tc>
        <w:tc>
          <w:tcPr>
            <w:tcW w:w="24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33DA4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已确认并发布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63C64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完成</w:t>
            </w:r>
          </w:p>
        </w:tc>
      </w:tr>
      <w:tr w14:paraId="15DD26A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60522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评定流程准备</w:t>
            </w:r>
          </w:p>
        </w:tc>
        <w:tc>
          <w:tcPr>
            <w:tcW w:w="30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C0785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明确“申请-审核-评审-审批-应用”闭环流程</w:t>
            </w:r>
          </w:p>
        </w:tc>
        <w:tc>
          <w:tcPr>
            <w:tcW w:w="24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E1BF6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流程文档已就绪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37830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完成</w:t>
            </w:r>
          </w:p>
        </w:tc>
      </w:tr>
      <w:tr w14:paraId="64A9877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3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D6E8B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评定时间规划</w:t>
            </w:r>
          </w:p>
        </w:tc>
        <w:tc>
          <w:tcPr>
            <w:tcW w:w="307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31256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计划于2026年12月启动</w:t>
            </w:r>
          </w:p>
        </w:tc>
        <w:tc>
          <w:tcPr>
            <w:tcW w:w="24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FD440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已纳入年度工作安排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51945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</w:tbl>
    <w:p w14:paraId="2692E5F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人员技能评定的考核指标是每年度技能评定覆盖率，计算方式为：实际进行技能评定的人数/应进行技能评定的人数×100%。目标值是≥80%。</w:t>
      </w:r>
    </w:p>
    <w:p w14:paraId="006A632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技能评定工作将于2026年12月集中开展，第一季度暂不涉及评定覆盖率统计，按计划正常推进。</w:t>
      </w:r>
    </w:p>
    <w:p w14:paraId="76C8E4B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1" w:name="_Toc29544"/>
      <w:r>
        <w:rPr>
          <w:rFonts w:hint="eastAsia"/>
          <w:lang w:val="en-US" w:eastAsia="zh-CN"/>
        </w:rPr>
        <w:t>资源管理报告</w:t>
      </w:r>
      <w:bookmarkEnd w:id="21"/>
    </w:p>
    <w:p w14:paraId="1900780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2" w:name="_Toc3149"/>
      <w:r>
        <w:rPr>
          <w:rFonts w:hint="eastAsia"/>
          <w:lang w:val="en-US" w:eastAsia="zh-CN"/>
        </w:rPr>
        <w:t>运维工具管理报告</w:t>
      </w:r>
      <w:bookmarkEnd w:id="22"/>
    </w:p>
    <w:p w14:paraId="44E0F77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第一季度未开展运维工具自评估。根据计划，年度自评估将于12月中旬进行。</w:t>
      </w:r>
    </w:p>
    <w:p w14:paraId="5ACA37D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3" w:name="_Toc26755"/>
      <w:r>
        <w:rPr>
          <w:rFonts w:hint="eastAsia"/>
          <w:lang w:val="en-US" w:eastAsia="zh-CN"/>
        </w:rPr>
        <w:t>服务台管理报告</w:t>
      </w:r>
      <w:bookmarkEnd w:id="23"/>
    </w:p>
    <w:p w14:paraId="5E3BC16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第一季度服务台派单成功率为90%，达成≥90%的考核目标。新增知识条目15条，远超每季度≥10条的目标，为服务团队提供了充分的知识储备。</w:t>
      </w:r>
    </w:p>
    <w:p w14:paraId="41CFBA5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服务台已建立规范化的运营机制，在工单处理、知识积累和服务协同等方面形成良性循环。</w:t>
      </w:r>
    </w:p>
    <w:p w14:paraId="462EDCD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4" w:name="_Toc416"/>
      <w:r>
        <w:rPr>
          <w:rFonts w:hint="eastAsia"/>
          <w:lang w:val="en-US" w:eastAsia="zh-CN"/>
        </w:rPr>
        <w:t>服务知识管理报告</w:t>
      </w:r>
      <w:bookmarkEnd w:id="24"/>
    </w:p>
    <w:p w14:paraId="67620FF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第一季度新增知识条目15条，超额完成≥10条的季度目标。问题转知识的比率为90%，达成≥90%的考核目标，服务团队有效将问题解决经验转化为可复用的知识资产。</w:t>
      </w:r>
    </w:p>
    <w:p w14:paraId="2DDCF6F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知识库使用率保持在良好水平，支撑了一线服务效率。</w:t>
      </w:r>
    </w:p>
    <w:p w14:paraId="7E42691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5" w:name="_Toc1469"/>
      <w:r>
        <w:rPr>
          <w:rFonts w:hint="eastAsia"/>
          <w:lang w:val="en-US" w:eastAsia="zh-CN"/>
        </w:rPr>
        <w:t>最终软件库管理报告</w:t>
      </w:r>
      <w:bookmarkEnd w:id="25"/>
    </w:p>
    <w:p w14:paraId="51039E9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软件合规性审计按半年度考核，第一季度暂不涉及。计划于上半年完成1次审计。</w:t>
      </w:r>
    </w:p>
    <w:p w14:paraId="1313010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6" w:name="_Toc16634"/>
      <w:r>
        <w:rPr>
          <w:rFonts w:hint="eastAsia"/>
          <w:lang w:val="en-US" w:eastAsia="zh-CN"/>
        </w:rPr>
        <w:t>服务数据管理报告</w:t>
      </w:r>
      <w:bookmarkEnd w:id="26"/>
    </w:p>
    <w:p w14:paraId="2FBD18B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第一季度服务数据分析利用次数为3次，超过每季度不少于1次的目标要求，服务数据已从基础采集向深度分析与业务支撑阶段推进。</w:t>
      </w:r>
    </w:p>
    <w:p w14:paraId="049A3AC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服务数据的完整性、准确性与及时性得到有效维护，为事件管理、问题分析、服务报告等关键流程提供了可靠的数据基础。</w:t>
      </w:r>
    </w:p>
    <w:p w14:paraId="4E0611F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7" w:name="_Toc22205"/>
      <w:r>
        <w:rPr>
          <w:rFonts w:hint="eastAsia"/>
          <w:lang w:val="en-US" w:eastAsia="zh-CN"/>
        </w:rPr>
        <w:t>备件库管理报告</w:t>
      </w:r>
      <w:bookmarkEnd w:id="27"/>
    </w:p>
    <w:p w14:paraId="524DC45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第一季度备件出入库准确率为100%，达成≥98%的季度考核目标。备件可用率按年度考核，第一季度暂不统计。</w:t>
      </w:r>
    </w:p>
    <w:p w14:paraId="28E6C1E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备件库入库验收、出库登记、台账更新等环节准确无误，流程执行严谨。</w:t>
      </w:r>
    </w:p>
    <w:p w14:paraId="3D73E60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8" w:name="_Toc9331"/>
      <w:r>
        <w:rPr>
          <w:rFonts w:hint="eastAsia"/>
          <w:lang w:val="en-US" w:eastAsia="zh-CN"/>
        </w:rPr>
        <w:t>技术管理报告</w:t>
      </w:r>
      <w:bookmarkEnd w:id="28"/>
    </w:p>
    <w:p w14:paraId="5A949F9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2026年第一季度，研发部依据《2026年度运维服务技术研发规划》，完成了各研发项目的前期需求分析与方案设计工作，各项目按计划正常推进。</w:t>
      </w:r>
    </w:p>
    <w:p w14:paraId="2D85E0D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9" w:name="_Toc17552"/>
      <w:bookmarkStart w:id="30" w:name="_Toc7681"/>
      <w:r>
        <w:rPr>
          <w:rFonts w:hint="eastAsia"/>
          <w:lang w:val="en-US" w:eastAsia="zh-CN"/>
        </w:rPr>
        <w:t>各项目研发进展情况</w:t>
      </w:r>
      <w:bookmarkEnd w:id="29"/>
      <w:bookmarkEnd w:id="30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8"/>
        <w:gridCol w:w="1832"/>
        <w:gridCol w:w="4077"/>
        <w:gridCol w:w="895"/>
      </w:tblGrid>
      <w:tr w14:paraId="644BA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71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A7B2C1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研发项目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79C7E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本季度计划</w:t>
            </w:r>
          </w:p>
        </w:tc>
        <w:tc>
          <w:tcPr>
            <w:tcW w:w="407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2A677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实际完成情况</w:t>
            </w:r>
          </w:p>
        </w:tc>
        <w:tc>
          <w:tcPr>
            <w:tcW w:w="89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BE423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状态</w:t>
            </w:r>
          </w:p>
        </w:tc>
      </w:tr>
      <w:tr w14:paraId="046EE9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1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18B0CF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华数-服务价值台二期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EE0FE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需求分析与方案设计</w:t>
            </w:r>
          </w:p>
        </w:tc>
        <w:tc>
          <w:tcPr>
            <w:tcW w:w="40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A61D0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已完成业务调研、产品原型设计、技术架构方案评审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05B9A3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</w:t>
            </w:r>
          </w:p>
        </w:tc>
      </w:tr>
      <w:tr w14:paraId="00B684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1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87CEDB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运维工具优化升级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4AD82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需求收集与分析</w:t>
            </w:r>
          </w:p>
        </w:tc>
        <w:tc>
          <w:tcPr>
            <w:tcW w:w="40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9698E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已完成一线使用反馈收集，梳理优化需求清单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C8F618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</w:t>
            </w:r>
          </w:p>
        </w:tc>
      </w:tr>
    </w:tbl>
    <w:p w14:paraId="6D0B33C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eastAsia="zh-CN"/>
        </w:rPr>
      </w:pPr>
      <w:r>
        <w:t>其他研发项目（运维手册体系完善、新技术落地应用）计划于2026年Q2及后续季度推进</w:t>
      </w:r>
      <w:r>
        <w:rPr>
          <w:rFonts w:hint="eastAsia"/>
          <w:lang w:eastAsia="zh-CN"/>
        </w:rPr>
        <w:t>。</w:t>
      </w:r>
    </w:p>
    <w:p w14:paraId="39000A3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1" w:name="_Toc16791"/>
      <w:bookmarkStart w:id="32" w:name="_Toc6711"/>
      <w:r>
        <w:rPr>
          <w:rFonts w:hint="eastAsia"/>
          <w:lang w:val="en-US" w:eastAsia="zh-CN"/>
        </w:rPr>
        <w:t>研发成果</w:t>
      </w:r>
      <w:bookmarkEnd w:id="31"/>
      <w:bookmarkEnd w:id="32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1"/>
        <w:gridCol w:w="5758"/>
        <w:gridCol w:w="1766"/>
      </w:tblGrid>
      <w:tr w14:paraId="753D8A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54F8EA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7823F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成果名称</w:t>
            </w:r>
          </w:p>
        </w:tc>
        <w:tc>
          <w:tcPr>
            <w:tcW w:w="176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6C003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状态</w:t>
            </w:r>
          </w:p>
        </w:tc>
      </w:tr>
      <w:tr w14:paraId="016B42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D6A151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DA0F3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《服务价值台二期需求规格说明书》</w:t>
            </w:r>
          </w:p>
        </w:tc>
        <w:tc>
          <w:tcPr>
            <w:tcW w:w="17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3493C7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已完成</w:t>
            </w:r>
          </w:p>
        </w:tc>
      </w:tr>
      <w:tr w14:paraId="6C4A9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BDC33F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57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64463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《运维工具优化需求清单》</w:t>
            </w:r>
          </w:p>
        </w:tc>
        <w:tc>
          <w:tcPr>
            <w:tcW w:w="176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817FC7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已完成</w:t>
            </w:r>
          </w:p>
        </w:tc>
      </w:tr>
    </w:tbl>
    <w:p w14:paraId="469C6DB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3" w:name="_Toc30169"/>
      <w:bookmarkStart w:id="34" w:name="_Toc30755"/>
      <w:r>
        <w:rPr>
          <w:rFonts w:hint="eastAsia"/>
          <w:lang w:val="en-US" w:eastAsia="zh-CN"/>
        </w:rPr>
        <w:t>资金使用情况</w:t>
      </w:r>
      <w:bookmarkEnd w:id="33"/>
      <w:bookmarkEnd w:id="34"/>
    </w:p>
    <w:p w14:paraId="6F0C5C9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2026年度研发预算119万元。截至3月底，实际支出28.5万元，执行率24%，符合预期。</w:t>
      </w:r>
    </w:p>
    <w:p w14:paraId="19DE43A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5" w:name="_Toc32556"/>
      <w:r>
        <w:rPr>
          <w:rFonts w:hint="eastAsia"/>
          <w:lang w:val="en-US" w:eastAsia="zh-CN"/>
        </w:rPr>
        <w:t>过程管理报告</w:t>
      </w:r>
      <w:bookmarkEnd w:id="35"/>
    </w:p>
    <w:p w14:paraId="50E37709">
      <w:pPr>
        <w:pStyle w:val="31"/>
        <w:bidi w:val="0"/>
        <w:rPr>
          <w:rFonts w:hint="eastAsia"/>
          <w:lang w:val="en-US" w:eastAsia="zh-CN"/>
        </w:rPr>
      </w:pPr>
      <w:bookmarkStart w:id="36" w:name="_Toc32342"/>
      <w:r>
        <w:rPr>
          <w:rFonts w:hint="eastAsia"/>
          <w:lang w:val="en-US" w:eastAsia="zh-CN"/>
        </w:rPr>
        <w:t>过程框架管理报告</w:t>
      </w:r>
      <w:bookmarkEnd w:id="36"/>
    </w:p>
    <w:p w14:paraId="37C9808A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过程框架自评估按年度考核，第一季度暂不涉及。计划于2026年度内完成1次自评估。</w:t>
      </w:r>
    </w:p>
    <w:p w14:paraId="12426C11">
      <w:pPr>
        <w:pStyle w:val="31"/>
        <w:bidi w:val="0"/>
        <w:rPr>
          <w:rFonts w:hint="eastAsia"/>
          <w:lang w:val="en-US" w:eastAsia="zh-CN"/>
        </w:rPr>
      </w:pPr>
      <w:bookmarkStart w:id="37" w:name="_Toc8182"/>
      <w:r>
        <w:rPr>
          <w:rFonts w:hint="eastAsia"/>
          <w:lang w:val="en-US" w:eastAsia="zh-CN"/>
        </w:rPr>
        <w:t>服务级别管理报告</w:t>
      </w:r>
      <w:bookmarkEnd w:id="37"/>
    </w:p>
    <w:p w14:paraId="5307E9C8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第一季度SLA达成率为100%，达成≥90%的考核目标，表明公司服务交付能力稳定，能够始终满足或超越与客户约定的服务级别要求。</w:t>
      </w:r>
    </w:p>
    <w:p w14:paraId="2B79C244">
      <w:pPr>
        <w:pStyle w:val="31"/>
        <w:bidi w:val="0"/>
        <w:rPr>
          <w:rFonts w:hint="eastAsia"/>
          <w:lang w:val="en-US" w:eastAsia="zh-CN"/>
        </w:rPr>
      </w:pPr>
      <w:bookmarkStart w:id="38" w:name="_Toc2542"/>
      <w:r>
        <w:rPr>
          <w:rFonts w:hint="eastAsia"/>
          <w:lang w:val="en-US" w:eastAsia="zh-CN"/>
        </w:rPr>
        <w:t>服务报告管理报告</w:t>
      </w:r>
      <w:bookmarkEnd w:id="38"/>
    </w:p>
    <w:p w14:paraId="53212426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第一季度服务报告交付及时率为100%，达成≥90%的考核目标，体现了公司在服务信息沟通方面的专业性与可靠性。</w:t>
      </w:r>
    </w:p>
    <w:p w14:paraId="02D4E623">
      <w:pPr>
        <w:pStyle w:val="31"/>
        <w:bidi w:val="0"/>
        <w:rPr>
          <w:rFonts w:hint="eastAsia"/>
          <w:lang w:val="en-US" w:eastAsia="zh-CN"/>
        </w:rPr>
      </w:pPr>
      <w:bookmarkStart w:id="39" w:name="_Toc6895"/>
      <w:r>
        <w:rPr>
          <w:rFonts w:hint="eastAsia"/>
          <w:lang w:val="en-US" w:eastAsia="zh-CN"/>
        </w:rPr>
        <w:t>事件管理报告</w:t>
      </w:r>
      <w:bookmarkEnd w:id="39"/>
    </w:p>
    <w:p w14:paraId="1A6B3A7E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第一季度事件解决率稳定保持100%，事件解决用户满意度为100%，双双达成≥90%的考核目标，反映出事件流程运转高效，客户在事件处理过程中的体验良好。</w:t>
      </w:r>
    </w:p>
    <w:p w14:paraId="11D8563B">
      <w:pPr>
        <w:pStyle w:val="31"/>
        <w:bidi w:val="0"/>
        <w:rPr>
          <w:rFonts w:hint="eastAsia"/>
          <w:lang w:val="en-US" w:eastAsia="zh-CN"/>
        </w:rPr>
      </w:pPr>
      <w:bookmarkStart w:id="40" w:name="_Toc2275"/>
      <w:r>
        <w:rPr>
          <w:rFonts w:hint="eastAsia"/>
          <w:lang w:val="en-US" w:eastAsia="zh-CN"/>
        </w:rPr>
        <w:t>问题管理报告</w:t>
      </w:r>
      <w:bookmarkEnd w:id="40"/>
    </w:p>
    <w:p w14:paraId="01B6E78A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第一季度问题解决率为92%，问题转知识的比率为90%，均达成≥90%的考核目标，表明公司不仅有效解决问题，更注重将经验沉淀为可复用的组织知识资产。</w:t>
      </w:r>
    </w:p>
    <w:p w14:paraId="7FB28707">
      <w:pPr>
        <w:pStyle w:val="31"/>
        <w:bidi w:val="0"/>
        <w:rPr>
          <w:rFonts w:hint="eastAsia"/>
          <w:lang w:val="en-US" w:eastAsia="zh-CN"/>
        </w:rPr>
      </w:pPr>
      <w:bookmarkStart w:id="41" w:name="_Toc29452"/>
      <w:r>
        <w:rPr>
          <w:rFonts w:hint="eastAsia"/>
          <w:lang w:val="en-US" w:eastAsia="zh-CN"/>
        </w:rPr>
        <w:t>变更管理报告</w:t>
      </w:r>
      <w:bookmarkEnd w:id="41"/>
    </w:p>
    <w:p w14:paraId="33FD5FBE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第一季度变更成功率为100%，达成≥98%的考核目标，变更管理实施稳健，风险控制有效。</w:t>
      </w:r>
    </w:p>
    <w:p w14:paraId="3FF8B11E">
      <w:pPr>
        <w:pStyle w:val="31"/>
        <w:bidi w:val="0"/>
        <w:rPr>
          <w:rFonts w:hint="eastAsia"/>
          <w:lang w:val="en-US" w:eastAsia="zh-CN"/>
        </w:rPr>
      </w:pPr>
      <w:bookmarkStart w:id="42" w:name="_Toc5044"/>
      <w:r>
        <w:rPr>
          <w:rFonts w:hint="eastAsia"/>
          <w:lang w:val="en-US" w:eastAsia="zh-CN"/>
        </w:rPr>
        <w:t>发布管理报告</w:t>
      </w:r>
      <w:bookmarkEnd w:id="42"/>
    </w:p>
    <w:p w14:paraId="25429E4C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第一季度发布成功率为100%，达成≥98%的考核目标，证明公司在软件版本规划、测试、部署与回滚控制等方面具备成熟的能力。</w:t>
      </w:r>
    </w:p>
    <w:p w14:paraId="77FC52C9">
      <w:pPr>
        <w:pStyle w:val="31"/>
        <w:bidi w:val="0"/>
        <w:rPr>
          <w:rFonts w:hint="eastAsia"/>
          <w:lang w:val="en-US" w:eastAsia="zh-CN"/>
        </w:rPr>
      </w:pPr>
      <w:bookmarkStart w:id="43" w:name="_Toc25289"/>
      <w:r>
        <w:rPr>
          <w:rFonts w:hint="eastAsia"/>
          <w:lang w:val="en-US" w:eastAsia="zh-CN"/>
        </w:rPr>
        <w:t>配置管理报告</w:t>
      </w:r>
      <w:bookmarkEnd w:id="43"/>
    </w:p>
    <w:p w14:paraId="1635C2FA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配置数据准确率按半年度考核，第一季度暂不涉及。计划于上半年完成一次考核。</w:t>
      </w:r>
    </w:p>
    <w:p w14:paraId="1AA04E17">
      <w:pPr>
        <w:pStyle w:val="31"/>
        <w:bidi w:val="0"/>
        <w:rPr>
          <w:rFonts w:hint="eastAsia"/>
          <w:lang w:val="en-US" w:eastAsia="zh-CN"/>
        </w:rPr>
      </w:pPr>
      <w:bookmarkStart w:id="44" w:name="_Toc14098"/>
      <w:r>
        <w:rPr>
          <w:rFonts w:hint="eastAsia"/>
          <w:lang w:val="en-US" w:eastAsia="zh-CN"/>
        </w:rPr>
        <w:t>服务可用性和连续性管理报告</w:t>
      </w:r>
      <w:bookmarkEnd w:id="44"/>
    </w:p>
    <w:p w14:paraId="49AC2401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第一季度服务可用率为100%，达成≥90%的考核目标；服务故障中断次数为0次，优于≤1次的约束要求，证明基础设施稳定，业务连续性得到有力保障。</w:t>
      </w:r>
    </w:p>
    <w:p w14:paraId="1730A853">
      <w:pPr>
        <w:pStyle w:val="31"/>
        <w:bidi w:val="0"/>
        <w:rPr>
          <w:rFonts w:hint="eastAsia"/>
          <w:lang w:val="en-US" w:eastAsia="zh-CN"/>
        </w:rPr>
      </w:pPr>
      <w:bookmarkStart w:id="45" w:name="_Toc14223"/>
      <w:r>
        <w:rPr>
          <w:rFonts w:hint="eastAsia"/>
          <w:lang w:val="en-US" w:eastAsia="zh-CN"/>
        </w:rPr>
        <w:t>容量管理报告</w:t>
      </w:r>
      <w:bookmarkEnd w:id="45"/>
    </w:p>
    <w:p w14:paraId="05AA5119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容量事件数按年度考核，第一季度暂不涉及。第一季度未发生容量事件</w:t>
      </w:r>
    </w:p>
    <w:p w14:paraId="70243B6B">
      <w:pPr>
        <w:pStyle w:val="31"/>
        <w:bidi w:val="0"/>
        <w:rPr>
          <w:rFonts w:hint="eastAsia"/>
          <w:lang w:val="en-US" w:eastAsia="zh-CN"/>
        </w:rPr>
      </w:pPr>
      <w:bookmarkStart w:id="46" w:name="_Toc14396"/>
      <w:r>
        <w:rPr>
          <w:rFonts w:hint="eastAsia"/>
          <w:lang w:val="en-US" w:eastAsia="zh-CN"/>
        </w:rPr>
        <w:t>信息安全管理报告</w:t>
      </w:r>
      <w:bookmarkEnd w:id="46"/>
    </w:p>
    <w:p w14:paraId="30BCB48F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信息安全事件数量按年度考核，第一季度暂不涉及。第一季度未发生信息安全事件</w:t>
      </w:r>
    </w:p>
    <w:p w14:paraId="49613C0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7" w:name="_Toc310"/>
      <w:r>
        <w:rPr>
          <w:rFonts w:hint="eastAsia"/>
          <w:lang w:val="en-US" w:eastAsia="zh-CN"/>
        </w:rPr>
        <w:t>交付管理报告</w:t>
      </w:r>
      <w:bookmarkEnd w:id="47"/>
    </w:p>
    <w:p w14:paraId="3ED56F97">
      <w:pPr>
        <w:pStyle w:val="29"/>
        <w:bidi w:val="0"/>
        <w:rPr>
          <w:rFonts w:hint="eastAsia" w:eastAsia="宋体"/>
          <w:lang w:val="en-US" w:eastAsia="zh-CN"/>
        </w:rPr>
      </w:pPr>
      <w:r>
        <w:t>项目及时交付率按年度考核，第一季度暂不统计。交付管理体系运行正常，各项目按计划推进，未出现交付延误情况</w:t>
      </w:r>
      <w:r>
        <w:rPr>
          <w:rFonts w:hint="eastAsia"/>
          <w:lang w:eastAsia="zh-CN"/>
        </w:rPr>
        <w:t>。</w:t>
      </w:r>
    </w:p>
    <w:p w14:paraId="2D4AAFF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8" w:name="_Toc4347"/>
      <w:r>
        <w:rPr>
          <w:rFonts w:hint="eastAsia"/>
          <w:lang w:val="en-US" w:eastAsia="zh-CN"/>
        </w:rPr>
        <w:t>应急管理报告</w:t>
      </w:r>
      <w:bookmarkEnd w:id="48"/>
    </w:p>
    <w:p w14:paraId="0AC748F8">
      <w:pPr>
        <w:pStyle w:val="29"/>
        <w:bidi w:val="0"/>
        <w:rPr>
          <w:rFonts w:hint="eastAsia"/>
          <w:lang w:val="en-US" w:eastAsia="zh-CN"/>
        </w:rPr>
      </w:pPr>
      <w:r>
        <w:t>项目应急演练次数按年度考核，计划于2026年下半年组织开展应急演练。第一季度已完成演练预案的初步编制工作，演练场景设计正在推进中。</w:t>
      </w:r>
    </w:p>
    <w:p w14:paraId="7973162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9" w:name="_Toc32387"/>
      <w:r>
        <w:rPr>
          <w:rFonts w:hint="eastAsia"/>
          <w:lang w:val="en-US" w:eastAsia="zh-CN"/>
        </w:rPr>
        <w:t>质量管理报告</w:t>
      </w:r>
      <w:bookmarkEnd w:id="49"/>
    </w:p>
    <w:p w14:paraId="3FB0474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0" w:name="_Toc2193"/>
      <w:r>
        <w:rPr>
          <w:rFonts w:hint="eastAsia"/>
          <w:lang w:val="en-US" w:eastAsia="zh-CN"/>
        </w:rPr>
        <w:t>内审</w:t>
      </w:r>
      <w:bookmarkEnd w:id="50"/>
    </w:p>
    <w:p w14:paraId="1F6C387A">
      <w:pPr>
        <w:pStyle w:val="29"/>
        <w:bidi w:val="0"/>
        <w:rPr>
          <w:rFonts w:hint="eastAsia"/>
          <w:lang w:val="en-US" w:eastAsia="zh-CN"/>
        </w:rPr>
      </w:pPr>
      <w:r>
        <w:t>内审按年度计划于12月组织开展。第一季度已完成内审计划的初步规划，明确了审核范围、审核依据及审核组成员安排，为年度内审工作做好准备。</w:t>
      </w:r>
    </w:p>
    <w:p w14:paraId="77108A4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1" w:name="_Toc14054"/>
      <w:r>
        <w:rPr>
          <w:rFonts w:hint="eastAsia"/>
          <w:lang w:val="en-US" w:eastAsia="zh-CN"/>
        </w:rPr>
        <w:t>管评</w:t>
      </w:r>
      <w:bookmarkEnd w:id="51"/>
    </w:p>
    <w:p w14:paraId="2CC6D48E">
      <w:pPr>
        <w:pStyle w:val="29"/>
        <w:bidi w:val="0"/>
        <w:rPr>
          <w:rFonts w:hint="eastAsia"/>
          <w:lang w:val="en-US" w:eastAsia="zh-CN"/>
        </w:rPr>
      </w:pPr>
      <w:r>
        <w:t>管理评审按年度计划于12月组织开展。第一季度已完成管理评审计划的框架设计，明确了评审输入材料清单及各部门准备要求</w:t>
      </w:r>
      <w:r>
        <w:t>。</w:t>
      </w:r>
    </w:p>
    <w:p w14:paraId="2CF3627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2" w:name="_Toc14624"/>
      <w:r>
        <w:rPr>
          <w:rFonts w:hint="eastAsia"/>
          <w:lang w:val="en-US" w:eastAsia="zh-CN"/>
        </w:rPr>
        <w:t>客户满意度</w:t>
      </w:r>
      <w:bookmarkEnd w:id="52"/>
    </w:p>
    <w:p w14:paraId="06A1295C">
      <w:pPr>
        <w:pStyle w:val="29"/>
        <w:bidi w:val="0"/>
        <w:rPr>
          <w:rFonts w:hint="default"/>
          <w:lang w:val="en-US" w:eastAsia="zh-CN"/>
        </w:rPr>
      </w:pPr>
      <w:r>
        <w:t>客户满意度调查按半年度计划于6月、12月组织开展。第一季度已完成上半年满意度调查问卷的设计工作，计划于6月正式开展调查</w:t>
      </w:r>
      <w:r>
        <w:rPr>
          <w:rFonts w:hint="default"/>
          <w:lang w:val="en-US" w:eastAsia="zh-CN"/>
        </w:rPr>
        <w:t>。</w:t>
      </w:r>
    </w:p>
    <w:p w14:paraId="36E4B9B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3" w:name="_Toc29366"/>
      <w:r>
        <w:rPr>
          <w:rFonts w:hint="eastAsia"/>
          <w:lang w:val="en-US" w:eastAsia="zh-CN"/>
        </w:rPr>
        <w:t>客户投诉</w:t>
      </w:r>
      <w:bookmarkEnd w:id="53"/>
    </w:p>
    <w:p w14:paraId="6F43A17C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截止目前没有发生客户投诉。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E114E3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78143C"/>
    <w:rsid w:val="010A0887"/>
    <w:rsid w:val="0284231A"/>
    <w:rsid w:val="02B83AD7"/>
    <w:rsid w:val="02BF0370"/>
    <w:rsid w:val="03716D43"/>
    <w:rsid w:val="03D02F6F"/>
    <w:rsid w:val="051C29EB"/>
    <w:rsid w:val="05404C1F"/>
    <w:rsid w:val="067803E8"/>
    <w:rsid w:val="06B37672"/>
    <w:rsid w:val="081859DF"/>
    <w:rsid w:val="08587C60"/>
    <w:rsid w:val="094C3466"/>
    <w:rsid w:val="0A231327"/>
    <w:rsid w:val="0AF65D7F"/>
    <w:rsid w:val="0B70168E"/>
    <w:rsid w:val="0D0B5B12"/>
    <w:rsid w:val="0E1924B1"/>
    <w:rsid w:val="0E4D2AE1"/>
    <w:rsid w:val="0F781522"/>
    <w:rsid w:val="112F3D99"/>
    <w:rsid w:val="11472E91"/>
    <w:rsid w:val="11AD2EEB"/>
    <w:rsid w:val="13290955"/>
    <w:rsid w:val="14116C8F"/>
    <w:rsid w:val="14975149"/>
    <w:rsid w:val="14B05032"/>
    <w:rsid w:val="15F80BFE"/>
    <w:rsid w:val="17D411F6"/>
    <w:rsid w:val="17E256C1"/>
    <w:rsid w:val="199B6470"/>
    <w:rsid w:val="1A0117EC"/>
    <w:rsid w:val="1B1A1616"/>
    <w:rsid w:val="1BB750B7"/>
    <w:rsid w:val="1BFA464A"/>
    <w:rsid w:val="1C330BE1"/>
    <w:rsid w:val="1C4B5591"/>
    <w:rsid w:val="1CB810E7"/>
    <w:rsid w:val="1D2E13A9"/>
    <w:rsid w:val="1E8F40C9"/>
    <w:rsid w:val="1EA30D2C"/>
    <w:rsid w:val="21FE134A"/>
    <w:rsid w:val="22600256"/>
    <w:rsid w:val="22E20C6B"/>
    <w:rsid w:val="23255A39"/>
    <w:rsid w:val="237044C9"/>
    <w:rsid w:val="23D42CAA"/>
    <w:rsid w:val="24174945"/>
    <w:rsid w:val="288F719F"/>
    <w:rsid w:val="2BF0264B"/>
    <w:rsid w:val="2C153E60"/>
    <w:rsid w:val="2D177764"/>
    <w:rsid w:val="2D6918C7"/>
    <w:rsid w:val="2DC72F38"/>
    <w:rsid w:val="2DD83397"/>
    <w:rsid w:val="2E1343CF"/>
    <w:rsid w:val="2E444588"/>
    <w:rsid w:val="2E6966E5"/>
    <w:rsid w:val="2EE1627B"/>
    <w:rsid w:val="32B2290A"/>
    <w:rsid w:val="3350577D"/>
    <w:rsid w:val="339A10EE"/>
    <w:rsid w:val="34A34E14"/>
    <w:rsid w:val="34BA1A48"/>
    <w:rsid w:val="36B424C7"/>
    <w:rsid w:val="37AB5678"/>
    <w:rsid w:val="38E452E6"/>
    <w:rsid w:val="39245FCE"/>
    <w:rsid w:val="39301121"/>
    <w:rsid w:val="397228F1"/>
    <w:rsid w:val="399D36E6"/>
    <w:rsid w:val="3A6A7A6C"/>
    <w:rsid w:val="3A940645"/>
    <w:rsid w:val="3AC54CA3"/>
    <w:rsid w:val="3B3C3E62"/>
    <w:rsid w:val="3F9929AF"/>
    <w:rsid w:val="3FB452E6"/>
    <w:rsid w:val="3FC512A1"/>
    <w:rsid w:val="4194717D"/>
    <w:rsid w:val="42562684"/>
    <w:rsid w:val="42C6780A"/>
    <w:rsid w:val="43754D8C"/>
    <w:rsid w:val="44846754"/>
    <w:rsid w:val="45156827"/>
    <w:rsid w:val="45343151"/>
    <w:rsid w:val="47E85B70"/>
    <w:rsid w:val="48E679FB"/>
    <w:rsid w:val="49261002"/>
    <w:rsid w:val="497C50C6"/>
    <w:rsid w:val="4C3532A7"/>
    <w:rsid w:val="4CB6269D"/>
    <w:rsid w:val="4D660768"/>
    <w:rsid w:val="4E541E88"/>
    <w:rsid w:val="4E755364"/>
    <w:rsid w:val="4F113CC0"/>
    <w:rsid w:val="502B1D2D"/>
    <w:rsid w:val="503C24CB"/>
    <w:rsid w:val="508D5E0B"/>
    <w:rsid w:val="50D961FC"/>
    <w:rsid w:val="54DA7BC1"/>
    <w:rsid w:val="559772D7"/>
    <w:rsid w:val="55F77DA2"/>
    <w:rsid w:val="58687558"/>
    <w:rsid w:val="59590F80"/>
    <w:rsid w:val="59EF3692"/>
    <w:rsid w:val="5A7A0667"/>
    <w:rsid w:val="5A9D4E9D"/>
    <w:rsid w:val="5B0311A3"/>
    <w:rsid w:val="5D1C02FB"/>
    <w:rsid w:val="5D30300A"/>
    <w:rsid w:val="5D5E4DB7"/>
    <w:rsid w:val="5DA54794"/>
    <w:rsid w:val="5E5E4943"/>
    <w:rsid w:val="5E6A14FC"/>
    <w:rsid w:val="5F3C1128"/>
    <w:rsid w:val="5F7206A6"/>
    <w:rsid w:val="5FA665A1"/>
    <w:rsid w:val="60793CB6"/>
    <w:rsid w:val="610D0FDD"/>
    <w:rsid w:val="612400C6"/>
    <w:rsid w:val="620F5214"/>
    <w:rsid w:val="625E2CFC"/>
    <w:rsid w:val="63D7141F"/>
    <w:rsid w:val="66FE2E8C"/>
    <w:rsid w:val="69B63885"/>
    <w:rsid w:val="6B0E55C7"/>
    <w:rsid w:val="6B266EF8"/>
    <w:rsid w:val="6CA218CA"/>
    <w:rsid w:val="6CF90658"/>
    <w:rsid w:val="6D7D3037"/>
    <w:rsid w:val="6EE449F0"/>
    <w:rsid w:val="6EEB3FD1"/>
    <w:rsid w:val="6F997ED1"/>
    <w:rsid w:val="7130216F"/>
    <w:rsid w:val="71EC367C"/>
    <w:rsid w:val="72D63B09"/>
    <w:rsid w:val="72F773E8"/>
    <w:rsid w:val="739F35DC"/>
    <w:rsid w:val="74116287"/>
    <w:rsid w:val="746429EA"/>
    <w:rsid w:val="74DB3A73"/>
    <w:rsid w:val="75295853"/>
    <w:rsid w:val="75FC6AC3"/>
    <w:rsid w:val="76285B0A"/>
    <w:rsid w:val="78211A2D"/>
    <w:rsid w:val="78864F46"/>
    <w:rsid w:val="78DB3F24"/>
    <w:rsid w:val="790E7239"/>
    <w:rsid w:val="798474FC"/>
    <w:rsid w:val="79A660E1"/>
    <w:rsid w:val="79F10830"/>
    <w:rsid w:val="7A813A3B"/>
    <w:rsid w:val="7B292109"/>
    <w:rsid w:val="7B4F1751"/>
    <w:rsid w:val="7B8E13F6"/>
    <w:rsid w:val="7C624981"/>
    <w:rsid w:val="7D4B22A5"/>
    <w:rsid w:val="7E8F4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1370</Words>
  <Characters>1753</Characters>
  <Lines>0</Lines>
  <Paragraphs>0</Paragraphs>
  <TotalTime>0</TotalTime>
  <ScaleCrop>false</ScaleCrop>
  <LinksUpToDate>false</LinksUpToDate>
  <CharactersWithSpaces>1915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2026-04-24T21:32:39Z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