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CCE8D">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6541"/>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304790" cy="8893810"/>
                    </a:xfrm>
                    <a:prstGeom prst="rect">
                      <a:avLst/>
                    </a:prstGeom>
                    <a:noFill/>
                    <a:ln>
                      <a:noFill/>
                    </a:ln>
                  </pic:spPr>
                </pic:pic>
              </a:graphicData>
            </a:graphic>
          </wp:anchor>
        </w:drawing>
      </w:r>
      <w:bookmarkEnd w:id="0"/>
    </w:p>
    <w:p w14:paraId="717584A0">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7583"/>
      <w:r>
        <w:rPr>
          <w:rFonts w:hint="eastAsia"/>
          <w:lang w:val="en-US" w:eastAsia="zh-CN"/>
        </w:rPr>
        <w:t>2025年度运维服务质量管理评审计划</w:t>
      </w:r>
      <w:bookmarkEnd w:id="1"/>
    </w:p>
    <w:p w14:paraId="2223116A">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3B35B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E37EF2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072F8E2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2025.12.13</w:t>
            </w:r>
          </w:p>
        </w:tc>
      </w:tr>
      <w:tr w14:paraId="3D1ED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73B0F3C3">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08FA8C0">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2025.12.13</w:t>
            </w:r>
          </w:p>
        </w:tc>
      </w:tr>
      <w:tr w14:paraId="1F18F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075C901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48F0811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2025.12.13</w:t>
            </w:r>
          </w:p>
        </w:tc>
      </w:tr>
    </w:tbl>
    <w:p w14:paraId="3DE06361">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0775DD54">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69A7CD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7D56D3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409A2C3F">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13AA3FE4">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B41FAEC">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5F4449C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48659E2B">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783A6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4E09EB96">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13</w:t>
            </w:r>
          </w:p>
        </w:tc>
        <w:tc>
          <w:tcPr>
            <w:tcW w:w="972" w:type="dxa"/>
          </w:tcPr>
          <w:p w14:paraId="36F3453B">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3E18AA72">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6DA8C47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沈坚</w:t>
            </w:r>
          </w:p>
        </w:tc>
        <w:tc>
          <w:tcPr>
            <w:tcW w:w="1606" w:type="dxa"/>
          </w:tcPr>
          <w:p w14:paraId="54C0F7F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34ACA04E">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6ED6D3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2F53A7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09CE2B1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60C790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1028FA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D62FB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712705B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532A6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592A99C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A3B91E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8A48BC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6FC9631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0F630A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09D2EBD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4B67BC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8989E2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1A62E9D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191999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C29088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1ACED1C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F81CA1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0D1D761B">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89AAB9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F2AEF9D">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_Toc16541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_Toc16541 \h </w:instrText>
          </w:r>
          <w:r>
            <w:fldChar w:fldCharType="separate"/>
          </w:r>
          <w:r>
            <w:t>1</w:t>
          </w:r>
          <w:r>
            <w:fldChar w:fldCharType="end"/>
          </w:r>
          <w:r>
            <w:rPr>
              <w:rFonts w:hint="eastAsia" w:ascii="宋体" w:hAnsi="宋体" w:eastAsia="宋体" w:cs="宋体"/>
              <w:szCs w:val="24"/>
            </w:rPr>
            <w:fldChar w:fldCharType="end"/>
          </w:r>
        </w:p>
        <w:p w14:paraId="2A3B901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_Toc27583 </w:instrText>
          </w:r>
          <w:r>
            <w:rPr>
              <w:rFonts w:hint="eastAsia" w:ascii="宋体" w:hAnsi="宋体" w:eastAsia="宋体" w:cs="宋体"/>
              <w:szCs w:val="24"/>
            </w:rPr>
            <w:fldChar w:fldCharType="separate"/>
          </w:r>
          <w:r>
            <w:rPr>
              <w:rFonts w:hint="eastAsia"/>
              <w:lang w:val="en-US" w:eastAsia="zh-CN"/>
            </w:rPr>
            <w:t>2025年度运维服务质量管理评审计划</w:t>
          </w:r>
          <w:r>
            <w:tab/>
          </w:r>
          <w:r>
            <w:fldChar w:fldCharType="begin"/>
          </w:r>
          <w:r>
            <w:instrText xml:space="preserve"> PAGEREF _Toc27583 \h </w:instrText>
          </w:r>
          <w:r>
            <w:fldChar w:fldCharType="separate"/>
          </w:r>
          <w:r>
            <w:t>1</w:t>
          </w:r>
          <w:r>
            <w:fldChar w:fldCharType="end"/>
          </w:r>
          <w:r>
            <w:rPr>
              <w:rFonts w:hint="eastAsia" w:ascii="宋体" w:hAnsi="宋体" w:eastAsia="宋体" w:cs="宋体"/>
              <w:szCs w:val="24"/>
            </w:rPr>
            <w:fldChar w:fldCharType="end"/>
          </w:r>
        </w:p>
        <w:p w14:paraId="3F521DE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_Toc9590 </w:instrText>
          </w:r>
          <w:r>
            <w:rPr>
              <w:rFonts w:hint="eastAsia" w:ascii="宋体" w:hAnsi="宋体" w:eastAsia="宋体" w:cs="宋体"/>
              <w:szCs w:val="24"/>
            </w:rPr>
            <w:fldChar w:fldCharType="separate"/>
          </w:r>
          <w:r>
            <w:rPr>
              <w:rFonts w:hint="default"/>
              <w:lang w:val="en-US" w:eastAsia="zh-CN"/>
            </w:rPr>
            <w:t>1. 评审计划概述</w:t>
          </w:r>
          <w:r>
            <w:tab/>
          </w:r>
          <w:r>
            <w:fldChar w:fldCharType="begin"/>
          </w:r>
          <w:r>
            <w:instrText xml:space="preserve"> PAGEREF _Toc9590 \h </w:instrText>
          </w:r>
          <w:r>
            <w:fldChar w:fldCharType="separate"/>
          </w:r>
          <w:r>
            <w:t>4</w:t>
          </w:r>
          <w:r>
            <w:fldChar w:fldCharType="end"/>
          </w:r>
          <w:r>
            <w:rPr>
              <w:rFonts w:hint="eastAsia" w:ascii="宋体" w:hAnsi="宋体" w:eastAsia="宋体" w:cs="宋体"/>
              <w:szCs w:val="24"/>
            </w:rPr>
            <w:fldChar w:fldCharType="end"/>
          </w:r>
        </w:p>
        <w:p w14:paraId="6A3399F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_Toc10089 </w:instrText>
          </w:r>
          <w:r>
            <w:rPr>
              <w:rFonts w:hint="eastAsia" w:ascii="宋体" w:hAnsi="宋体" w:eastAsia="宋体" w:cs="宋体"/>
              <w:szCs w:val="24"/>
            </w:rPr>
            <w:fldChar w:fldCharType="separate"/>
          </w:r>
          <w:r>
            <w:rPr>
              <w:rFonts w:hint="default"/>
              <w:lang w:val="en-US" w:eastAsia="zh-CN"/>
            </w:rPr>
            <w:t>2. 评审安排</w:t>
          </w:r>
          <w:r>
            <w:tab/>
          </w:r>
          <w:r>
            <w:fldChar w:fldCharType="begin"/>
          </w:r>
          <w:r>
            <w:instrText xml:space="preserve"> PAGEREF _Toc10089 \h </w:instrText>
          </w:r>
          <w:r>
            <w:fldChar w:fldCharType="separate"/>
          </w:r>
          <w:r>
            <w:t>4</w:t>
          </w:r>
          <w:r>
            <w:fldChar w:fldCharType="end"/>
          </w:r>
          <w:r>
            <w:rPr>
              <w:rFonts w:hint="eastAsia" w:ascii="宋体" w:hAnsi="宋体" w:eastAsia="宋体" w:cs="宋体"/>
              <w:szCs w:val="24"/>
            </w:rPr>
            <w:fldChar w:fldCharType="end"/>
          </w:r>
        </w:p>
        <w:p w14:paraId="1EC80AC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_Toc13050 </w:instrText>
          </w:r>
          <w:r>
            <w:rPr>
              <w:rFonts w:hint="eastAsia" w:ascii="宋体" w:hAnsi="宋体" w:eastAsia="宋体" w:cs="宋体"/>
              <w:szCs w:val="24"/>
            </w:rPr>
            <w:fldChar w:fldCharType="separate"/>
          </w:r>
          <w:r>
            <w:rPr>
              <w:rFonts w:hint="default"/>
              <w:lang w:val="en-US" w:eastAsia="zh-CN"/>
            </w:rPr>
            <w:t>3. 评审主要内容</w:t>
          </w:r>
          <w:r>
            <w:tab/>
          </w:r>
          <w:r>
            <w:fldChar w:fldCharType="begin"/>
          </w:r>
          <w:r>
            <w:instrText xml:space="preserve"> PAGEREF _Toc13050 \h </w:instrText>
          </w:r>
          <w:r>
            <w:fldChar w:fldCharType="separate"/>
          </w:r>
          <w:r>
            <w:t>4</w:t>
          </w:r>
          <w:r>
            <w:fldChar w:fldCharType="end"/>
          </w:r>
          <w:r>
            <w:rPr>
              <w:rFonts w:hint="eastAsia" w:ascii="宋体" w:hAnsi="宋体" w:eastAsia="宋体" w:cs="宋体"/>
              <w:szCs w:val="24"/>
            </w:rPr>
            <w:fldChar w:fldCharType="end"/>
          </w:r>
        </w:p>
        <w:p w14:paraId="530BD9C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_Toc16382 </w:instrText>
          </w:r>
          <w:r>
            <w:rPr>
              <w:rFonts w:hint="eastAsia" w:ascii="宋体" w:hAnsi="宋体" w:eastAsia="宋体" w:cs="宋体"/>
              <w:szCs w:val="24"/>
            </w:rPr>
            <w:fldChar w:fldCharType="separate"/>
          </w:r>
          <w:r>
            <w:rPr>
              <w:rFonts w:hint="default"/>
              <w:lang w:val="en-US" w:eastAsia="zh-CN"/>
            </w:rPr>
            <w:t>4. 评审材料准备要求</w:t>
          </w:r>
          <w:r>
            <w:tab/>
          </w:r>
          <w:r>
            <w:fldChar w:fldCharType="begin"/>
          </w:r>
          <w:r>
            <w:instrText xml:space="preserve"> PAGEREF _Toc16382 \h </w:instrText>
          </w:r>
          <w:r>
            <w:fldChar w:fldCharType="separate"/>
          </w:r>
          <w:r>
            <w:t>4</w:t>
          </w:r>
          <w:r>
            <w:fldChar w:fldCharType="end"/>
          </w:r>
          <w:r>
            <w:rPr>
              <w:rFonts w:hint="eastAsia" w:ascii="宋体" w:hAnsi="宋体" w:eastAsia="宋体" w:cs="宋体"/>
              <w:szCs w:val="24"/>
            </w:rPr>
            <w:fldChar w:fldCharType="end"/>
          </w:r>
        </w:p>
        <w:p w14:paraId="57A7C103">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A8EFB40">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6217620">
      <w:pPr>
        <w:pStyle w:val="28"/>
        <w:bidi w:val="0"/>
        <w:rPr>
          <w:rFonts w:hint="default"/>
          <w:lang w:val="en-US" w:eastAsia="zh-CN"/>
        </w:rPr>
      </w:pPr>
      <w:bookmarkStart w:id="2" w:name="_Toc9590"/>
      <w:r>
        <w:rPr>
          <w:rFonts w:hint="default"/>
          <w:lang w:val="en-US" w:eastAsia="zh-CN"/>
        </w:rPr>
        <w:t>评审计划概述</w:t>
      </w:r>
      <w:bookmarkEnd w:id="2"/>
    </w:p>
    <w:p w14:paraId="22752B7C">
      <w:pPr>
        <w:pStyle w:val="29"/>
        <w:rPr>
          <w:rFonts w:hint="default"/>
          <w:lang w:val="en-US" w:eastAsia="zh-CN"/>
        </w:rPr>
      </w:pPr>
      <w:r>
        <w:rPr>
          <w:rFonts w:hint="default"/>
          <w:lang w:val="en-US" w:eastAsia="zh-CN"/>
        </w:rPr>
        <w:t>本次管理评审旨在对公司</w:t>
      </w:r>
      <w:r>
        <w:rPr>
          <w:rFonts w:hint="eastAsia"/>
          <w:lang w:val="en-US" w:eastAsia="zh-CN"/>
        </w:rPr>
        <w:t>2025年度</w:t>
      </w:r>
      <w:r>
        <w:rPr>
          <w:rFonts w:hint="default"/>
          <w:lang w:val="en-US" w:eastAsia="zh-CN"/>
        </w:rPr>
        <w:t>运维服务管理体系在能力成熟度三级运行阶段的整体表现进行系统性评估。通过审查体系在适宜性、协调性、充分性及有效性等方面的实际表现，识别改进机会，推动体系持续优化，确保公司运维服务目标与战略方向保持一致，并切实满足法律法规及客户的相关要求。</w:t>
      </w:r>
    </w:p>
    <w:p w14:paraId="65E6E9D9">
      <w:pPr>
        <w:pStyle w:val="29"/>
        <w:rPr>
          <w:rFonts w:hint="default"/>
          <w:lang w:val="en-US" w:eastAsia="zh-CN"/>
        </w:rPr>
      </w:pPr>
      <w:r>
        <w:rPr>
          <w:rFonts w:hint="default"/>
          <w:lang w:val="en-US" w:eastAsia="zh-CN"/>
        </w:rPr>
        <w:t>审核依据：公司质量管理体系文件、SLA协议、ITSS标准、相关法律法规；审核范围：公司所有与运维服务相关的部门及过程</w:t>
      </w:r>
    </w:p>
    <w:p w14:paraId="53D6D05C">
      <w:pPr>
        <w:pStyle w:val="28"/>
        <w:bidi w:val="0"/>
        <w:rPr>
          <w:rFonts w:hint="default"/>
          <w:lang w:val="en-US" w:eastAsia="zh-CN"/>
        </w:rPr>
      </w:pPr>
      <w:bookmarkStart w:id="3" w:name="_Toc10089"/>
      <w:r>
        <w:rPr>
          <w:rFonts w:hint="default"/>
          <w:lang w:val="en-US" w:eastAsia="zh-CN"/>
        </w:rPr>
        <w:t>评审安排</w:t>
      </w:r>
      <w:bookmarkEnd w:id="3"/>
    </w:p>
    <w:p w14:paraId="24AC6DB3">
      <w:pPr>
        <w:pStyle w:val="29"/>
        <w:rPr>
          <w:rFonts w:hint="default"/>
          <w:lang w:val="en-US" w:eastAsia="zh-CN"/>
        </w:rPr>
      </w:pPr>
      <w:r>
        <w:rPr>
          <w:rFonts w:hint="default"/>
          <w:lang w:val="en-US" w:eastAsia="zh-CN"/>
        </w:rPr>
        <w:t>评审会议定于2025年</w:t>
      </w:r>
      <w:r>
        <w:rPr>
          <w:rFonts w:hint="eastAsia"/>
          <w:lang w:val="en-US" w:eastAsia="zh-CN"/>
        </w:rPr>
        <w:t>12</w:t>
      </w:r>
      <w:r>
        <w:rPr>
          <w:rFonts w:hint="default"/>
          <w:lang w:val="en-US" w:eastAsia="zh-CN"/>
        </w:rPr>
        <w:t>月20日举行，地点设在公司会议室。参与评审的主要人员包括吴亚红、程方、吴桀、吴夤、沈坚，共同组成评审小组，确保评审工作的全面性与权威性。</w:t>
      </w:r>
    </w:p>
    <w:p w14:paraId="259914E2">
      <w:pPr>
        <w:pStyle w:val="28"/>
        <w:bidi w:val="0"/>
        <w:rPr>
          <w:rFonts w:hint="default"/>
          <w:lang w:val="en-US" w:eastAsia="zh-CN"/>
        </w:rPr>
      </w:pPr>
      <w:bookmarkStart w:id="4" w:name="_Toc13050"/>
      <w:r>
        <w:rPr>
          <w:rFonts w:hint="default"/>
          <w:lang w:val="en-US" w:eastAsia="zh-CN"/>
        </w:rPr>
        <w:t>评审主要内容</w:t>
      </w:r>
      <w:bookmarkEnd w:id="4"/>
    </w:p>
    <w:p w14:paraId="2A8C7EB1">
      <w:pPr>
        <w:pStyle w:val="29"/>
        <w:rPr>
          <w:rFonts w:hint="default"/>
          <w:lang w:val="en-US" w:eastAsia="zh-CN"/>
        </w:rPr>
      </w:pPr>
      <w:r>
        <w:rPr>
          <w:rFonts w:hint="default"/>
          <w:lang w:val="en-US" w:eastAsia="zh-CN"/>
        </w:rPr>
        <w:t>评审将围绕以下六个核心议题展开深入分析与讨论：</w:t>
      </w:r>
    </w:p>
    <w:p w14:paraId="3183307A">
      <w:pPr>
        <w:pStyle w:val="29"/>
        <w:rPr>
          <w:rFonts w:hint="default"/>
          <w:lang w:val="en-US" w:eastAsia="zh-CN"/>
        </w:rPr>
      </w:pPr>
      <w:r>
        <w:rPr>
          <w:rFonts w:hint="default"/>
          <w:lang w:val="en-US" w:eastAsia="zh-CN"/>
        </w:rPr>
        <w:t>体系内审结果回顾：全面审视2025年度运维服务能力管理体系内部审核的结果，总结合规性与执行一致性情况。</w:t>
      </w:r>
    </w:p>
    <w:p w14:paraId="0BEC37D2">
      <w:pPr>
        <w:pStyle w:val="29"/>
        <w:rPr>
          <w:rFonts w:hint="default"/>
          <w:lang w:val="en-US" w:eastAsia="zh-CN"/>
        </w:rPr>
      </w:pPr>
      <w:r>
        <w:rPr>
          <w:rFonts w:hint="default"/>
          <w:lang w:val="en-US" w:eastAsia="zh-CN"/>
        </w:rPr>
        <w:t>部门指标实施分析：评估各部门在运维服务关键绩效指标方面的达成情况，分析数据背后的业务表现与改进空间。</w:t>
      </w:r>
    </w:p>
    <w:p w14:paraId="66C1C669">
      <w:pPr>
        <w:pStyle w:val="29"/>
        <w:rPr>
          <w:rFonts w:hint="default"/>
          <w:lang w:val="en-US" w:eastAsia="zh-CN"/>
        </w:rPr>
      </w:pPr>
      <w:r>
        <w:rPr>
          <w:rFonts w:hint="default"/>
          <w:lang w:val="en-US" w:eastAsia="zh-CN"/>
        </w:rPr>
        <w:t>客户反馈综合评估：系统梳理客户满意度调查结果及客户投诉处理情况，从客户视角反观服务体系的有效性与响应能力。</w:t>
      </w:r>
    </w:p>
    <w:p w14:paraId="4493E143">
      <w:pPr>
        <w:pStyle w:val="29"/>
        <w:rPr>
          <w:rFonts w:hint="default"/>
          <w:lang w:val="en-US" w:eastAsia="zh-CN"/>
        </w:rPr>
      </w:pPr>
      <w:r>
        <w:rPr>
          <w:rFonts w:hint="default"/>
          <w:lang w:val="en-US" w:eastAsia="zh-CN"/>
        </w:rPr>
        <w:t>组织与资源配置评估：检视公司当前组织结构、职责划分及资源分配的合理性，确保其支持运维服务体系的高效运转。</w:t>
      </w:r>
    </w:p>
    <w:p w14:paraId="366F6637">
      <w:pPr>
        <w:pStyle w:val="29"/>
        <w:rPr>
          <w:rFonts w:hint="default"/>
          <w:lang w:val="en-US" w:eastAsia="zh-CN"/>
        </w:rPr>
      </w:pPr>
      <w:r>
        <w:rPr>
          <w:rFonts w:hint="default"/>
          <w:lang w:val="en-US" w:eastAsia="zh-CN"/>
        </w:rPr>
        <w:t>体系文件适宜性审查：评估现有运维服务管理体系文件与实际业务的匹配程度，提出优化建议。</w:t>
      </w:r>
    </w:p>
    <w:p w14:paraId="4A35A0BE">
      <w:pPr>
        <w:pStyle w:val="29"/>
        <w:rPr>
          <w:rFonts w:hint="default"/>
          <w:lang w:val="en-US" w:eastAsia="zh-CN"/>
        </w:rPr>
      </w:pPr>
      <w:r>
        <w:rPr>
          <w:rFonts w:hint="default"/>
          <w:lang w:val="en-US" w:eastAsia="zh-CN"/>
        </w:rPr>
        <w:t>内外部建议汇总分析：整合来自客户与员工对运维服务体系的合理化建议，作为体系持续改进的重要输入。</w:t>
      </w:r>
    </w:p>
    <w:p w14:paraId="70E5F1D7">
      <w:pPr>
        <w:pStyle w:val="28"/>
        <w:bidi w:val="0"/>
        <w:rPr>
          <w:rFonts w:hint="default"/>
          <w:lang w:val="en-US" w:eastAsia="zh-CN"/>
        </w:rPr>
      </w:pPr>
      <w:bookmarkStart w:id="5" w:name="_Toc16382"/>
      <w:r>
        <w:rPr>
          <w:rFonts w:hint="default"/>
          <w:lang w:val="en-US" w:eastAsia="zh-CN"/>
        </w:rPr>
        <w:t>评审材料准备要求</w:t>
      </w:r>
      <w:bookmarkEnd w:id="5"/>
    </w:p>
    <w:p w14:paraId="77971A40">
      <w:pPr>
        <w:pStyle w:val="29"/>
        <w:rPr>
          <w:rFonts w:hint="default"/>
          <w:lang w:val="en-US" w:eastAsia="zh-CN"/>
        </w:rPr>
      </w:pPr>
      <w:r>
        <w:rPr>
          <w:rFonts w:hint="default"/>
          <w:lang w:val="en-US" w:eastAsia="zh-CN"/>
        </w:rPr>
        <w:t>为确保评审工作顺利开展，各相关部门须按以下要求提前准备并提交相应材料：</w:t>
      </w:r>
    </w:p>
    <w:p w14:paraId="7E76943A">
      <w:pPr>
        <w:pStyle w:val="29"/>
        <w:rPr>
          <w:rFonts w:hint="default"/>
          <w:lang w:val="en-US" w:eastAsia="zh-CN"/>
        </w:rPr>
      </w:pPr>
      <w:r>
        <w:rPr>
          <w:rFonts w:hint="default"/>
          <w:lang w:val="en-US" w:eastAsia="zh-CN"/>
        </w:rPr>
        <w:t>质量管理部应提供包括最新版体系文件、不合格项汇总与分析表、内审报告、指标体系执行汇总、客户满意度与回访分析报告在内的全套评审基础资料。</w:t>
      </w:r>
    </w:p>
    <w:p w14:paraId="32AF7DC4">
      <w:pPr>
        <w:pStyle w:val="29"/>
        <w:rPr>
          <w:rFonts w:hint="default"/>
          <w:lang w:val="en-US" w:eastAsia="zh-CN"/>
        </w:rPr>
      </w:pPr>
      <w:r>
        <w:rPr>
          <w:rFonts w:hint="default"/>
          <w:lang w:val="en-US" w:eastAsia="zh-CN"/>
        </w:rPr>
        <w:t>各运维相关部门（含运维部、研发部、人力资源部、</w:t>
      </w:r>
      <w:r>
        <w:rPr>
          <w:rFonts w:hint="eastAsia"/>
          <w:lang w:val="en-US" w:eastAsia="zh-CN"/>
        </w:rPr>
        <w:t>质量管理</w:t>
      </w:r>
      <w:bookmarkStart w:id="6" w:name="_GoBack"/>
      <w:bookmarkEnd w:id="6"/>
      <w:r>
        <w:rPr>
          <w:rFonts w:hint="eastAsia"/>
          <w:lang w:val="en-US" w:eastAsia="zh-CN"/>
        </w:rPr>
        <w:t>部</w:t>
      </w:r>
      <w:r>
        <w:rPr>
          <w:rFonts w:hint="default"/>
          <w:lang w:val="en-US" w:eastAsia="zh-CN"/>
        </w:rPr>
        <w:t>等）需就内审发现的问题制定具体改进方案，并提出对运维服务能力管理体系的建设性改进意见。</w:t>
      </w:r>
    </w:p>
    <w:p w14:paraId="1A88FFF7">
      <w:pPr>
        <w:pStyle w:val="29"/>
        <w:rPr>
          <w:rFonts w:hint="default"/>
          <w:lang w:val="en-US" w:eastAsia="zh-CN"/>
        </w:rPr>
      </w:pPr>
      <w:r>
        <w:rPr>
          <w:rFonts w:hint="default"/>
          <w:lang w:val="en-US" w:eastAsia="zh-CN"/>
        </w:rPr>
        <w:t>上述所有材料须于2025年</w:t>
      </w:r>
      <w:r>
        <w:rPr>
          <w:rFonts w:hint="eastAsia"/>
          <w:lang w:val="en-US" w:eastAsia="zh-CN"/>
        </w:rPr>
        <w:t>12</w:t>
      </w:r>
      <w:r>
        <w:rPr>
          <w:rFonts w:hint="default"/>
          <w:lang w:val="en-US" w:eastAsia="zh-CN"/>
        </w:rPr>
        <w:t>月19日前提交至质量管理部，以便会前整理与分发。</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2AE37">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9447B32"/>
    <w:rsid w:val="48C66305"/>
    <w:rsid w:val="5ED879CC"/>
    <w:rsid w:val="68385051"/>
    <w:rsid w:val="6EDD18B4"/>
    <w:rsid w:val="7A151D26"/>
    <w:rsid w:val="7C663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918</Words>
  <Characters>999</Characters>
  <Lines>0</Lines>
  <Paragraphs>0</Paragraphs>
  <TotalTime>0</TotalTime>
  <ScaleCrop>false</ScaleCrop>
  <LinksUpToDate>false</LinksUpToDate>
  <CharactersWithSpaces>1021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2026-04-24T16:47:57Z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