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6AF0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3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B50CD5E">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23753"/>
      <w:r>
        <w:rPr>
          <w:rFonts w:hint="eastAsia"/>
          <w:lang w:val="en-US" w:eastAsia="zh-CN"/>
        </w:rPr>
        <w:t>2025年度运维服务质量管理报告</w:t>
      </w:r>
      <w:bookmarkEnd w:id="1"/>
    </w:p>
    <w:p w14:paraId="5B21E4B2">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640F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6A0A1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7197E7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7F65E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B8C5D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DB600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53217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70949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8FECE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1F44805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7C7BC72">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BBEE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40B2C1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D9255BA">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86DEBB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0B5FDE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284F05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97E6035">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804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4472E9C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12.30</w:t>
            </w:r>
          </w:p>
        </w:tc>
        <w:tc>
          <w:tcPr>
            <w:tcW w:w="972" w:type="dxa"/>
          </w:tcPr>
          <w:p w14:paraId="233C85D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2136831">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AB4CEC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沈坚</w:t>
            </w:r>
          </w:p>
        </w:tc>
        <w:tc>
          <w:tcPr>
            <w:tcW w:w="1606" w:type="dxa"/>
          </w:tcPr>
          <w:p w14:paraId="3643A2A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67DECC7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6F7C67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D74EAB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D98369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7D89F4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801AB5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CC368A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4D0956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7513C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30EBE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60E5E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30BC55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EC4A4B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B4D723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4B3307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9F6BE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738CDC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35E010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6B396B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556BB3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D76058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02D9C3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EFC33D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0C4C21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598B632">
          <w:pPr>
            <w:pStyle w:val="16"/>
            <w:tabs>
              <w:tab w:val="right" w:leader="dot" w:pos="8306"/>
            </w:tabs>
          </w:pPr>
          <w:bookmarkStart w:id="9" w:name="_GoBack"/>
          <w:bookmarkEnd w:id="9"/>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_Toc7233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_Toc7233 \h </w:instrText>
          </w:r>
          <w:r>
            <w:fldChar w:fldCharType="separate"/>
          </w:r>
          <w:r>
            <w:t>1</w:t>
          </w:r>
          <w:r>
            <w:fldChar w:fldCharType="end"/>
          </w:r>
          <w:r>
            <w:rPr>
              <w:rFonts w:hint="eastAsia" w:ascii="宋体" w:hAnsi="宋体" w:eastAsia="宋体" w:cs="宋体"/>
              <w:szCs w:val="24"/>
            </w:rPr>
            <w:fldChar w:fldCharType="end"/>
          </w:r>
        </w:p>
        <w:p w14:paraId="17D170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_Toc23753 </w:instrText>
          </w:r>
          <w:r>
            <w:rPr>
              <w:rFonts w:hint="eastAsia" w:ascii="宋体" w:hAnsi="宋体" w:eastAsia="宋体" w:cs="宋体"/>
              <w:szCs w:val="24"/>
            </w:rPr>
            <w:fldChar w:fldCharType="separate"/>
          </w:r>
          <w:r>
            <w:rPr>
              <w:rFonts w:hint="eastAsia"/>
              <w:lang w:val="en-US" w:eastAsia="zh-CN"/>
            </w:rPr>
            <w:t>2025年度运维服务质量管理报告</w:t>
          </w:r>
          <w:r>
            <w:tab/>
          </w:r>
          <w:r>
            <w:fldChar w:fldCharType="begin"/>
          </w:r>
          <w:r>
            <w:instrText xml:space="preserve"> PAGEREF _Toc23753 \h </w:instrText>
          </w:r>
          <w:r>
            <w:fldChar w:fldCharType="separate"/>
          </w:r>
          <w:r>
            <w:t>1</w:t>
          </w:r>
          <w:r>
            <w:fldChar w:fldCharType="end"/>
          </w:r>
          <w:r>
            <w:rPr>
              <w:rFonts w:hint="eastAsia" w:ascii="宋体" w:hAnsi="宋体" w:eastAsia="宋体" w:cs="宋体"/>
              <w:szCs w:val="24"/>
            </w:rPr>
            <w:fldChar w:fldCharType="end"/>
          </w:r>
        </w:p>
        <w:p w14:paraId="7B68C2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_Toc9154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_Toc9154 \h </w:instrText>
          </w:r>
          <w:r>
            <w:fldChar w:fldCharType="separate"/>
          </w:r>
          <w:r>
            <w:t>4</w:t>
          </w:r>
          <w:r>
            <w:fldChar w:fldCharType="end"/>
          </w:r>
          <w:r>
            <w:rPr>
              <w:rFonts w:hint="eastAsia" w:ascii="宋体" w:hAnsi="宋体" w:eastAsia="宋体" w:cs="宋体"/>
              <w:szCs w:val="24"/>
            </w:rPr>
            <w:fldChar w:fldCharType="end"/>
          </w:r>
        </w:p>
        <w:p w14:paraId="6EC253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_Toc24660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客户满意度</w:t>
          </w:r>
          <w:r>
            <w:tab/>
          </w:r>
          <w:r>
            <w:fldChar w:fldCharType="begin"/>
          </w:r>
          <w:r>
            <w:instrText xml:space="preserve"> PAGEREF _Toc24660 \h </w:instrText>
          </w:r>
          <w:r>
            <w:fldChar w:fldCharType="separate"/>
          </w:r>
          <w:r>
            <w:t>4</w:t>
          </w:r>
          <w:r>
            <w:fldChar w:fldCharType="end"/>
          </w:r>
          <w:r>
            <w:rPr>
              <w:rFonts w:hint="eastAsia" w:ascii="宋体" w:hAnsi="宋体" w:eastAsia="宋体" w:cs="宋体"/>
              <w:szCs w:val="24"/>
            </w:rPr>
            <w:fldChar w:fldCharType="end"/>
          </w:r>
        </w:p>
        <w:p w14:paraId="67FBEF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_Toc13465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2025年上半年满意度调查结果</w:t>
          </w:r>
          <w:r>
            <w:tab/>
          </w:r>
          <w:r>
            <w:fldChar w:fldCharType="begin"/>
          </w:r>
          <w:r>
            <w:instrText xml:space="preserve"> PAGEREF _Toc13465 \h </w:instrText>
          </w:r>
          <w:r>
            <w:fldChar w:fldCharType="separate"/>
          </w:r>
          <w:r>
            <w:t>4</w:t>
          </w:r>
          <w:r>
            <w:fldChar w:fldCharType="end"/>
          </w:r>
          <w:r>
            <w:rPr>
              <w:rFonts w:hint="eastAsia" w:ascii="宋体" w:hAnsi="宋体" w:eastAsia="宋体" w:cs="宋体"/>
              <w:szCs w:val="24"/>
            </w:rPr>
            <w:fldChar w:fldCharType="end"/>
          </w:r>
        </w:p>
        <w:p w14:paraId="07670B6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_Toc7822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2025年下半年满意度调查结果</w:t>
          </w:r>
          <w:r>
            <w:tab/>
          </w:r>
          <w:r>
            <w:fldChar w:fldCharType="begin"/>
          </w:r>
          <w:r>
            <w:instrText xml:space="preserve"> PAGEREF _Toc7822 \h </w:instrText>
          </w:r>
          <w:r>
            <w:fldChar w:fldCharType="separate"/>
          </w:r>
          <w:r>
            <w:t>4</w:t>
          </w:r>
          <w:r>
            <w:fldChar w:fldCharType="end"/>
          </w:r>
          <w:r>
            <w:rPr>
              <w:rFonts w:hint="eastAsia" w:ascii="宋体" w:hAnsi="宋体" w:eastAsia="宋体" w:cs="宋体"/>
              <w:szCs w:val="24"/>
            </w:rPr>
            <w:fldChar w:fldCharType="end"/>
          </w:r>
        </w:p>
        <w:p w14:paraId="163EEF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_Toc24148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内审</w:t>
          </w:r>
          <w:r>
            <w:tab/>
          </w:r>
          <w:r>
            <w:fldChar w:fldCharType="begin"/>
          </w:r>
          <w:r>
            <w:instrText xml:space="preserve"> PAGEREF _Toc24148 \h </w:instrText>
          </w:r>
          <w:r>
            <w:fldChar w:fldCharType="separate"/>
          </w:r>
          <w:r>
            <w:t>4</w:t>
          </w:r>
          <w:r>
            <w:fldChar w:fldCharType="end"/>
          </w:r>
          <w:r>
            <w:rPr>
              <w:rFonts w:hint="eastAsia" w:ascii="宋体" w:hAnsi="宋体" w:eastAsia="宋体" w:cs="宋体"/>
              <w:szCs w:val="24"/>
            </w:rPr>
            <w:fldChar w:fldCharType="end"/>
          </w:r>
        </w:p>
        <w:p w14:paraId="4A8EE3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_Toc20546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管理评审</w:t>
          </w:r>
          <w:r>
            <w:tab/>
          </w:r>
          <w:r>
            <w:fldChar w:fldCharType="begin"/>
          </w:r>
          <w:r>
            <w:instrText xml:space="preserve"> PAGEREF _Toc20546 \h </w:instrText>
          </w:r>
          <w:r>
            <w:fldChar w:fldCharType="separate"/>
          </w:r>
          <w:r>
            <w:t>5</w:t>
          </w:r>
          <w:r>
            <w:fldChar w:fldCharType="end"/>
          </w:r>
          <w:r>
            <w:rPr>
              <w:rFonts w:hint="eastAsia" w:ascii="宋体" w:hAnsi="宋体" w:eastAsia="宋体" w:cs="宋体"/>
              <w:szCs w:val="24"/>
            </w:rPr>
            <w:fldChar w:fldCharType="end"/>
          </w:r>
        </w:p>
        <w:p w14:paraId="59BBA23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_Toc10277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问题与改进</w:t>
          </w:r>
          <w:r>
            <w:tab/>
          </w:r>
          <w:r>
            <w:fldChar w:fldCharType="begin"/>
          </w:r>
          <w:r>
            <w:instrText xml:space="preserve"> PAGEREF _Toc10277 \h </w:instrText>
          </w:r>
          <w:r>
            <w:fldChar w:fldCharType="separate"/>
          </w:r>
          <w:r>
            <w:t>5</w:t>
          </w:r>
          <w:r>
            <w:fldChar w:fldCharType="end"/>
          </w:r>
          <w:r>
            <w:rPr>
              <w:rFonts w:hint="eastAsia" w:ascii="宋体" w:hAnsi="宋体" w:eastAsia="宋体" w:cs="宋体"/>
              <w:szCs w:val="24"/>
            </w:rPr>
            <w:fldChar w:fldCharType="end"/>
          </w:r>
        </w:p>
        <w:p w14:paraId="376896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15DD49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508776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9154"/>
      <w:r>
        <w:rPr>
          <w:rFonts w:hint="default"/>
        </w:rPr>
        <w:t>概述</w:t>
      </w:r>
      <w:bookmarkEnd w:id="2"/>
    </w:p>
    <w:p w14:paraId="452220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w:t>
      </w:r>
      <w:r>
        <w:rPr>
          <w:rFonts w:hint="default"/>
        </w:rPr>
        <w:t>月至</w:t>
      </w:r>
      <w:r>
        <w:rPr>
          <w:rFonts w:hint="eastAsia"/>
          <w:lang w:val="en-US" w:eastAsia="zh-CN"/>
        </w:rPr>
        <w:t>12月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6116926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4660"/>
      <w:r>
        <w:rPr>
          <w:rFonts w:hint="eastAsia"/>
          <w:lang w:val="en-US" w:eastAsia="zh-CN"/>
        </w:rPr>
        <w:t>客户满意度</w:t>
      </w:r>
      <w:bookmarkEnd w:id="3"/>
    </w:p>
    <w:p w14:paraId="6466D6EB">
      <w:pPr>
        <w:pStyle w:val="31"/>
        <w:bidi w:val="0"/>
        <w:rPr>
          <w:rFonts w:hint="default"/>
          <w:lang w:val="en-US" w:eastAsia="zh-CN"/>
        </w:rPr>
      </w:pPr>
      <w:bookmarkStart w:id="4" w:name="_Toc13465"/>
      <w:r>
        <w:rPr>
          <w:rFonts w:hint="eastAsia"/>
          <w:lang w:val="en-US" w:eastAsia="zh-CN"/>
        </w:rPr>
        <w:t>2025年上半年满意度调查结果</w:t>
      </w:r>
      <w:bookmarkEnd w:id="4"/>
    </w:p>
    <w:p w14:paraId="0CD964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依据满意度管理制度，质量管理部在6月底进行了客户满意度调查，其中发放调查报告8份，收回8份。通过汇总分析得出，客户的满意度综合得分为97%，明显超过考核指标</w:t>
      </w:r>
    </w:p>
    <w:p w14:paraId="548FB2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通过收集的满意度调查表分析得出，客户对沟通协调方面满意度较低，在下一阶段应加强客户满意度调查管理制度的培训。质量相关部门加强监督。</w:t>
      </w:r>
    </w:p>
    <w:p w14:paraId="1E0EA7FA">
      <w:pPr>
        <w:pStyle w:val="31"/>
        <w:bidi w:val="0"/>
        <w:rPr>
          <w:rFonts w:hint="default"/>
          <w:lang w:val="en-US" w:eastAsia="zh-CN"/>
        </w:rPr>
      </w:pPr>
      <w:bookmarkStart w:id="5" w:name="_Toc7822"/>
      <w:r>
        <w:rPr>
          <w:rFonts w:hint="eastAsia"/>
          <w:lang w:val="en-US" w:eastAsia="zh-CN"/>
        </w:rPr>
        <w:t>2025年下半年满意度调查结果</w:t>
      </w:r>
      <w:bookmarkEnd w:id="5"/>
    </w:p>
    <w:p w14:paraId="3E5AC3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依据满意度管理制度，质量管理部在12月底进行了客户满意度调查，其中发放调查报告10份，收回10份。通过汇总分析得出，客户的满意度综合得分为99.4%，明显超过考核指标。</w:t>
      </w:r>
    </w:p>
    <w:p w14:paraId="7575DE36">
      <w:pPr>
        <w:pStyle w:val="29"/>
        <w:rPr>
          <w:rFonts w:hint="default"/>
          <w:lang w:val="en-US" w:eastAsia="zh-CN"/>
        </w:rPr>
      </w:pPr>
      <w:r>
        <w:rPr>
          <w:rFonts w:hint="eastAsia"/>
          <w:lang w:val="en-US" w:eastAsia="zh-CN"/>
        </w:rPr>
        <w:t>2025年下半年满意度调查表明，</w:t>
      </w:r>
      <w:r>
        <w:rPr>
          <w:rFonts w:hint="default"/>
          <w:lang w:val="en-US" w:eastAsia="zh-CN"/>
        </w:rPr>
        <w:t>公司2025年下半年的运维服务整体满意度达99.4%，较上半年稳步提升，所有维度均保持在较高水平。</w:t>
      </w:r>
    </w:p>
    <w:p w14:paraId="06A1295C">
      <w:pPr>
        <w:pStyle w:val="29"/>
        <w:rPr>
          <w:rFonts w:hint="default"/>
          <w:lang w:val="en-US" w:eastAsia="zh-CN"/>
        </w:rPr>
      </w:pPr>
      <w:r>
        <w:rPr>
          <w:rFonts w:hint="default"/>
          <w:lang w:val="en-US" w:eastAsia="zh-CN"/>
        </w:rPr>
        <w:t>上半年识别出的“沟通协调”薄弱环节得到有效改善，验证了质量管理部、运维部及人力资源部联合推进的《满意度管理制度》和《沟通管理制度》宣贯工作的积极成效。</w:t>
      </w:r>
    </w:p>
    <w:p w14:paraId="741DF9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4148"/>
      <w:r>
        <w:rPr>
          <w:rFonts w:hint="eastAsia"/>
          <w:lang w:val="en-US" w:eastAsia="zh-CN"/>
        </w:rPr>
        <w:t>内审</w:t>
      </w:r>
      <w:bookmarkEnd w:id="6"/>
    </w:p>
    <w:p w14:paraId="39AB57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质量管理部于2025年12月10日制定了内审计划并编制了内审检查表。12月15-16两天进行了内审工作，发现了一项不符合，为一般不符合。由相关部门进行改进并加强培训工作，相关审核人员跟进改进结果。</w:t>
      </w:r>
    </w:p>
    <w:p w14:paraId="0A1E1A3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0546"/>
      <w:r>
        <w:rPr>
          <w:rFonts w:hint="eastAsia"/>
          <w:lang w:val="en-US" w:eastAsia="zh-CN"/>
        </w:rPr>
        <w:t>管理评审</w:t>
      </w:r>
      <w:bookmarkEnd w:id="7"/>
    </w:p>
    <w:p w14:paraId="2CD88F09">
      <w:pPr>
        <w:pStyle w:val="27"/>
        <w:keepNext w:val="0"/>
        <w:keepLines w:val="0"/>
        <w:pageBreakBefore w:val="0"/>
        <w:widowControl w:val="0"/>
        <w:kinsoku w:val="0"/>
        <w:wordWrap/>
        <w:overflowPunct/>
        <w:topLinePunct w:val="0"/>
        <w:autoSpaceDE w:val="0"/>
        <w:autoSpaceDN w:val="0"/>
        <w:bidi w:val="0"/>
        <w:adjustRightInd w:val="0"/>
        <w:snapToGrid w:val="0"/>
        <w:spacing w:before="183" w:line="340" w:lineRule="auto"/>
        <w:ind w:left="118" w:right="129" w:firstLine="481"/>
        <w:textAlignment w:val="baseline"/>
        <w:rPr>
          <w:rFonts w:hint="default"/>
          <w:lang w:val="en-US" w:eastAsia="zh-CN"/>
        </w:rPr>
      </w:pPr>
      <w:r>
        <w:rPr>
          <w:rStyle w:val="42"/>
          <w:rFonts w:hint="eastAsia"/>
          <w:lang w:val="en-US" w:eastAsia="zh-CN"/>
        </w:rPr>
        <w:t>质量管理部于2025年12月13日制定了管理评审计划，于12月20日组织各运维相关部门进行了管理评审。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19CB523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0277"/>
      <w:r>
        <w:rPr>
          <w:rFonts w:hint="eastAsia"/>
          <w:lang w:val="en-US" w:eastAsia="zh-CN"/>
        </w:rPr>
        <w:t>问题与改进</w:t>
      </w:r>
      <w:bookmarkEnd w:id="8"/>
    </w:p>
    <w:p w14:paraId="6D234C9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人员对ITSS相关标准的理解不够深刻，可能导致部分潜在问题，给体系的运行造成一定的制约和影响。</w:t>
      </w:r>
    </w:p>
    <w:p w14:paraId="4578819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部分质量</w:t>
      </w:r>
      <w:r>
        <w:rPr>
          <w:rFonts w:hint="eastAsia"/>
          <w:lang w:val="en-US" w:eastAsia="zh-CN"/>
        </w:rPr>
        <w:t>管理专员</w:t>
      </w:r>
      <w:r>
        <w:t>缺少信息系统运维服务业务的专业知识，对业务的认识和理解不够，给运维项目的质量管理带来一定的困难。</w:t>
      </w:r>
    </w:p>
    <w:p w14:paraId="49B2579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运维部在进行</w:t>
      </w:r>
      <w:r>
        <w:t>项目策划时，缺少对运维项目风险的识别、分析、评估等策划。</w:t>
      </w:r>
    </w:p>
    <w:p w14:paraId="606B97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针对存在的问题，下一阶段公司计划通过采取以下方式进行改进：</w:t>
      </w:r>
    </w:p>
    <w:p w14:paraId="5641B8E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通过外聘讲师、参加外训、内部知识竞赛、内部讨论会等的培训方式，使质量管理人员对ITSS相关标准有更深刻的理解了认识,以便更好的指导质量工作。</w:t>
      </w:r>
    </w:p>
    <w:p w14:paraId="6A1418D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邀请公司运维部相关运维工程师，对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4CC45E8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EE4C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0B6A0C"/>
    <w:rsid w:val="04D240AB"/>
    <w:rsid w:val="05621969"/>
    <w:rsid w:val="0664493D"/>
    <w:rsid w:val="0AC7549A"/>
    <w:rsid w:val="1E3F551F"/>
    <w:rsid w:val="1E497AAE"/>
    <w:rsid w:val="202A40A9"/>
    <w:rsid w:val="270023DE"/>
    <w:rsid w:val="28ED5C5A"/>
    <w:rsid w:val="2BBE1B4A"/>
    <w:rsid w:val="2E433BD4"/>
    <w:rsid w:val="307553CC"/>
    <w:rsid w:val="30A5696A"/>
    <w:rsid w:val="33376D8F"/>
    <w:rsid w:val="36CA3A99"/>
    <w:rsid w:val="3F253F62"/>
    <w:rsid w:val="40B40BE4"/>
    <w:rsid w:val="423746D8"/>
    <w:rsid w:val="4C6E596B"/>
    <w:rsid w:val="513D338D"/>
    <w:rsid w:val="53163E96"/>
    <w:rsid w:val="5C3D06E5"/>
    <w:rsid w:val="6208709F"/>
    <w:rsid w:val="62E0001C"/>
    <w:rsid w:val="79AB3BD4"/>
    <w:rsid w:val="7DA77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1266</Words>
  <Characters>1389</Characters>
  <Lines>0</Lines>
  <Paragraphs>0</Paragraphs>
  <TotalTime>0</TotalTime>
  <ScaleCrop>false</ScaleCrop>
  <LinksUpToDate>false</LinksUpToDate>
  <CharactersWithSpaces>1401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2026-04-24T16:59:03Z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