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C4B9751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2080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10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 w14:paraId="6648E92C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23747"/>
      <w:bookmarkStart w:id="2" w:name="_Toc15004"/>
      <w:r>
        <w:rPr>
          <w:rFonts w:hint="eastAsia"/>
          <w:lang w:val="en-US" w:eastAsia="zh-CN"/>
        </w:rPr>
        <w:t>人员招聘管理制度</w:t>
      </w:r>
      <w:bookmarkEnd w:id="1"/>
      <w:bookmarkEnd w:id="2"/>
    </w:p>
    <w:p w14:paraId="09F0FB6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5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3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7F3B18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2C82130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2708" w:type="dxa"/>
          </w:tcPr>
          <w:p w14:paraId="6CCD9A8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3526D8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7CA7BE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V2.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19B2D19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bookmarkStart w:id="20" w:name="_GoBack"/>
            <w:bookmarkEnd w:id="20"/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6A3491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1EDFF58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 w14:paraId="2D0F5D5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6E3B952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62379A2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419E197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1607A37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3C08480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6BA798C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7E5F4DE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4080D84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41C9FC7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45A32D3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  <w:shd w:val="clear" w:color="auto" w:fill="auto"/>
          </w:tcPr>
          <w:p w14:paraId="4BE8EB2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2022.6.20</w:t>
            </w:r>
          </w:p>
        </w:tc>
        <w:tc>
          <w:tcPr>
            <w:tcW w:w="972" w:type="dxa"/>
            <w:shd w:val="clear" w:color="auto" w:fill="auto"/>
          </w:tcPr>
          <w:p w14:paraId="24150AD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  <w:shd w:val="clear" w:color="auto" w:fill="auto"/>
          </w:tcPr>
          <w:p w14:paraId="190E64F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  <w:shd w:val="clear" w:color="auto" w:fill="auto"/>
          </w:tcPr>
          <w:p w14:paraId="01D9FC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  <w:lang w:val="en-US" w:eastAsia="zh-CN"/>
              </w:rPr>
              <w:t>吴夤</w:t>
            </w:r>
          </w:p>
        </w:tc>
        <w:tc>
          <w:tcPr>
            <w:tcW w:w="1606" w:type="dxa"/>
            <w:shd w:val="clear" w:color="auto" w:fill="auto"/>
          </w:tcPr>
          <w:p w14:paraId="3AAA99C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  <w:shd w:val="clear" w:color="auto" w:fill="auto"/>
          </w:tcPr>
          <w:p w14:paraId="571F0D6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57375ED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  <w:shd w:val="clear" w:color="auto" w:fill="auto"/>
          </w:tcPr>
          <w:p w14:paraId="3126DCA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2025.1.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  <w:shd w:val="clear" w:color="auto" w:fill="auto"/>
          </w:tcPr>
          <w:p w14:paraId="34D2D68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</w:t>
            </w:r>
            <w:r>
              <w:rPr>
                <w:rFonts w:hint="eastAsia" w:ascii="宋体" w:hAnsi="宋体" w:cs="宋体"/>
                <w:spacing w:val="4"/>
                <w:position w:val="1"/>
                <w:sz w:val="20"/>
                <w:szCs w:val="20"/>
                <w:lang w:val="en-US" w:eastAsia="zh-CN"/>
              </w:rPr>
              <w:t>2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.0</w:t>
            </w:r>
          </w:p>
        </w:tc>
        <w:tc>
          <w:tcPr>
            <w:tcW w:w="1575" w:type="dxa"/>
            <w:shd w:val="clear" w:color="auto" w:fill="auto"/>
          </w:tcPr>
          <w:p w14:paraId="7B96688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</w:pPr>
            <w:r>
              <w:rPr>
                <w:rFonts w:hint="eastAsia" w:ascii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  <w:t>完善转正管理</w:t>
            </w:r>
          </w:p>
        </w:tc>
        <w:tc>
          <w:tcPr>
            <w:tcW w:w="1829" w:type="dxa"/>
            <w:shd w:val="clear" w:color="auto" w:fill="auto"/>
          </w:tcPr>
          <w:p w14:paraId="45F3CC6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  <w:lang w:val="en-US" w:eastAsia="zh-CN"/>
              </w:rPr>
              <w:t>吴夤</w:t>
            </w:r>
          </w:p>
        </w:tc>
        <w:tc>
          <w:tcPr>
            <w:tcW w:w="1606" w:type="dxa"/>
            <w:shd w:val="clear" w:color="auto" w:fill="auto"/>
          </w:tcPr>
          <w:p w14:paraId="079C3B6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  <w:shd w:val="clear" w:color="auto" w:fill="auto"/>
          </w:tcPr>
          <w:p w14:paraId="3B8CA3A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3AB2736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D52459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1B37A51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C035FB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30F8243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2BBBACC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619ABB6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2AF5BC8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138A490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175E1BB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5FD5F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F472AB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33BBA31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03ACE75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0409F4C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14426568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66626A8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_Toc22080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_Toc22080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674578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_Toc23747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人员招聘管理制度</w:t>
          </w:r>
          <w:r>
            <w:tab/>
          </w:r>
          <w:r>
            <w:fldChar w:fldCharType="begin"/>
          </w:r>
          <w:r>
            <w:instrText xml:space="preserve"> PAGEREF _Toc23747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883B1D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_Toc25827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目的与作用</w:t>
          </w:r>
          <w:r>
            <w:tab/>
          </w:r>
          <w:r>
            <w:fldChar w:fldCharType="begin"/>
          </w:r>
          <w:r>
            <w:instrText xml:space="preserve"> PAGEREF _Toc25827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26089F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_Toc14585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管理职责</w:t>
          </w:r>
          <w:r>
            <w:tab/>
          </w:r>
          <w:r>
            <w:fldChar w:fldCharType="begin"/>
          </w:r>
          <w:r>
            <w:instrText xml:space="preserve"> PAGEREF _Toc14585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05DE07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_Toc30984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2.1. 人力资源部</w:t>
          </w:r>
          <w:r>
            <w:tab/>
          </w:r>
          <w:r>
            <w:fldChar w:fldCharType="begin"/>
          </w:r>
          <w:r>
            <w:instrText xml:space="preserve"> PAGEREF _Toc30984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DA21FE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_Toc16087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 公司管理层</w:t>
          </w:r>
          <w:r>
            <w:tab/>
          </w:r>
          <w:r>
            <w:fldChar w:fldCharType="begin"/>
          </w:r>
          <w:r>
            <w:instrText xml:space="preserve"> PAGEREF _Toc16087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291CE1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_Toc27307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2.3. </w:t>
          </w:r>
          <w:r>
            <w:rPr>
              <w:rFonts w:hint="eastAsia"/>
              <w:lang w:val="en-US" w:eastAsia="zh-CN"/>
            </w:rPr>
            <w:t>其他运维相关部门</w:t>
          </w:r>
          <w:r>
            <w:tab/>
          </w:r>
          <w:r>
            <w:fldChar w:fldCharType="begin"/>
          </w:r>
          <w:r>
            <w:instrText xml:space="preserve"> PAGEREF _Toc27307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5671E9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_Toc473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招聘工作管理原则</w:t>
          </w:r>
          <w:r>
            <w:tab/>
          </w:r>
          <w:r>
            <w:fldChar w:fldCharType="begin"/>
          </w:r>
          <w:r>
            <w:instrText xml:space="preserve"> PAGEREF _Toc473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54ADE9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_Toc29950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招聘计划与需求管理</w:t>
          </w:r>
          <w:r>
            <w:tab/>
          </w:r>
          <w:r>
            <w:fldChar w:fldCharType="begin"/>
          </w:r>
          <w:r>
            <w:instrText xml:space="preserve"> PAGEREF _Toc29950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2E0459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_Toc5997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需求提报</w:t>
          </w:r>
          <w:r>
            <w:tab/>
          </w:r>
          <w:r>
            <w:fldChar w:fldCharType="begin"/>
          </w:r>
          <w:r>
            <w:instrText xml:space="preserve"> PAGEREF _Toc5997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B5FD97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_Toc2743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计划制定与审批</w:t>
          </w:r>
          <w:r>
            <w:tab/>
          </w:r>
          <w:r>
            <w:fldChar w:fldCharType="begin"/>
          </w:r>
          <w:r>
            <w:instrText xml:space="preserve"> PAGEREF _Toc2743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158BC0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_Toc30343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招聘实施流程</w:t>
          </w:r>
          <w:r>
            <w:tab/>
          </w:r>
          <w:r>
            <w:fldChar w:fldCharType="begin"/>
          </w:r>
          <w:r>
            <w:instrText xml:space="preserve"> PAGEREF _Toc30343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819D6C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_Toc8641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录用、审批与入职</w:t>
          </w:r>
          <w:r>
            <w:tab/>
          </w:r>
          <w:r>
            <w:fldChar w:fldCharType="begin"/>
          </w:r>
          <w:r>
            <w:instrText xml:space="preserve"> PAGEREF _Toc8641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C6A48D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_Toc21760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6.1. 录用决策与审批</w:t>
          </w:r>
          <w:r>
            <w:tab/>
          </w:r>
          <w:r>
            <w:fldChar w:fldCharType="begin"/>
          </w:r>
          <w:r>
            <w:instrText xml:space="preserve"> PAGEREF _Toc21760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00B293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_Toc22956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6.2. 入职报到手续</w:t>
          </w:r>
          <w:r>
            <w:tab/>
          </w:r>
          <w:r>
            <w:fldChar w:fldCharType="begin"/>
          </w:r>
          <w:r>
            <w:instrText xml:space="preserve"> PAGEREF _Toc22956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95ECD4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_Toc30945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6.3. 入职引导与培训</w:t>
          </w:r>
          <w:r>
            <w:tab/>
          </w:r>
          <w:r>
            <w:fldChar w:fldCharType="begin"/>
          </w:r>
          <w:r>
            <w:instrText xml:space="preserve"> PAGEREF _Toc30945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B45BF5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_Toc14916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 试用期与转正管理</w:t>
          </w:r>
          <w:r>
            <w:tab/>
          </w:r>
          <w:r>
            <w:fldChar w:fldCharType="begin"/>
          </w:r>
          <w:r>
            <w:instrText xml:space="preserve"> PAGEREF _Toc14916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2442A5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_Toc25860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_Toc25860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076E63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_Toc29753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9. 附则</w:t>
          </w:r>
          <w:r>
            <w:tab/>
          </w:r>
          <w:r>
            <w:fldChar w:fldCharType="begin"/>
          </w:r>
          <w:r>
            <w:instrText xml:space="preserve"> PAGEREF _Toc29753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B9DB04F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5661ED0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624F4F88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" w:name="_Toc25827"/>
      <w:r>
        <w:rPr>
          <w:rFonts w:hint="default"/>
          <w:lang w:val="en-US" w:eastAsia="zh-CN"/>
        </w:rPr>
        <w:t>目的与作用</w:t>
      </w:r>
      <w:bookmarkEnd w:id="3"/>
    </w:p>
    <w:p w14:paraId="04F1710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公司员工招聘活动，建立科学、公开、公平、公正的人才选拔与引进机制，确保为公司软件运维服务业务持续、高效地吸纳与配置符合岗位要求、认同企业文化的专业人才，保障公司发展战略与业务目标的实现，特制定本制度。</w:t>
      </w:r>
    </w:p>
    <w:p w14:paraId="05BC0CB7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" w:name="_Toc14585"/>
      <w:r>
        <w:rPr>
          <w:rFonts w:hint="default"/>
          <w:lang w:val="en-US" w:eastAsia="zh-CN"/>
        </w:rPr>
        <w:t>管理职责</w:t>
      </w:r>
      <w:bookmarkEnd w:id="4"/>
    </w:p>
    <w:p w14:paraId="42DB476C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" w:name="_Toc30984"/>
      <w:r>
        <w:rPr>
          <w:rFonts w:hint="default"/>
          <w:lang w:val="en-US" w:eastAsia="zh-CN"/>
        </w:rPr>
        <w:t>人力资源部</w:t>
      </w:r>
      <w:bookmarkEnd w:id="5"/>
    </w:p>
    <w:p w14:paraId="6D8BEE2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负责本制度的制定、修订与解释。</w:t>
      </w:r>
    </w:p>
    <w:p w14:paraId="34D02B3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负责审核各部门招聘需求，制定公司年度/月度招聘计划及预算。</w:t>
      </w:r>
    </w:p>
    <w:p w14:paraId="47DF850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负责开拓、维护各类招聘渠道，组织实施招聘活动（信息发布、简历收集与筛选、面试安排等）。</w:t>
      </w:r>
    </w:p>
    <w:p w14:paraId="66FCEE2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负责组织公司级面试（初试），协调复试，办理录用审批、入职手续及背景调查。</w:t>
      </w:r>
    </w:p>
    <w:p w14:paraId="7ABE5F3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负责建立和维护招聘过程记录及人才储备库。</w:t>
      </w:r>
    </w:p>
    <w:p w14:paraId="116CE5C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各用人部门（运维部、研发部、质量管理部、应急管理部等）：</w:t>
      </w:r>
    </w:p>
    <w:p w14:paraId="12AFF6B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负责根据业务发展提报本部门人员需求。</w:t>
      </w:r>
    </w:p>
    <w:p w14:paraId="7DACA34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负责明确招聘岗位的详细职责、任职资格与能力要求。</w:t>
      </w:r>
    </w:p>
    <w:p w14:paraId="3BD030A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负责主导专业面试（复试），对应聘者的专业能力、技能水平及岗位匹配度进行评估。</w:t>
      </w:r>
    </w:p>
    <w:p w14:paraId="5470D72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负责新员工入职后的部门级岗前培训与工作安排。</w:t>
      </w:r>
    </w:p>
    <w:p w14:paraId="3955A393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16087"/>
      <w:r>
        <w:rPr>
          <w:rFonts w:hint="default"/>
          <w:lang w:val="en-US" w:eastAsia="zh-CN"/>
        </w:rPr>
        <w:t>公司管理层</w:t>
      </w:r>
      <w:bookmarkEnd w:id="6"/>
    </w:p>
    <w:p w14:paraId="425480E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负责审批年度/重要招聘计划与预算。</w:t>
      </w:r>
    </w:p>
    <w:p w14:paraId="78965B0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负责对关键岗位的最终录用进行审批。</w:t>
      </w:r>
    </w:p>
    <w:p w14:paraId="0F2AE7A2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7" w:name="_Toc27307"/>
      <w:r>
        <w:rPr>
          <w:rFonts w:hint="eastAsia"/>
          <w:lang w:val="en-US" w:eastAsia="zh-CN"/>
        </w:rPr>
        <w:t>其他运维相关部门</w:t>
      </w:r>
      <w:bookmarkEnd w:id="7"/>
    </w:p>
    <w:p w14:paraId="2B1ACC9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根据运维需要提交用人计划和用人要求</w:t>
      </w:r>
    </w:p>
    <w:p w14:paraId="2327F5F9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" w:name="_Toc473"/>
      <w:r>
        <w:rPr>
          <w:rFonts w:hint="default"/>
          <w:lang w:val="en-US" w:eastAsia="zh-CN"/>
        </w:rPr>
        <w:t>招聘工作管理原则</w:t>
      </w:r>
      <w:bookmarkEnd w:id="8"/>
    </w:p>
    <w:p w14:paraId="5BAC57A4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计划性原则：招聘活动应基于公司战略与业务规划，以部门人员编制和实际需求为依据，有计划地进行，避免盲目招聘。</w:t>
      </w:r>
    </w:p>
    <w:p w14:paraId="12FEB283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公开公平原则：招聘信息应公开透明，选拔过程应公平、公正，为所有应聘者提供平等竞争的机会。</w:t>
      </w:r>
    </w:p>
    <w:p w14:paraId="5422F35D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人岗匹配原则：以岗位实际需求为出发点，重点考察应聘者的专业知识、技能、综合素质与岗位要求的匹配度。</w:t>
      </w:r>
    </w:p>
    <w:p w14:paraId="321E03C3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择优录用原则：在符合任职资格的基础上，综合评估应聘者的能力、潜力和价值观，择优录用。</w:t>
      </w:r>
    </w:p>
    <w:p w14:paraId="7748046F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成本效率原则：合理选择招聘渠道与方法，控制招聘成本，提高招聘效率与质量。</w:t>
      </w:r>
    </w:p>
    <w:p w14:paraId="6D15AF01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" w:name="_Toc29950"/>
      <w:r>
        <w:rPr>
          <w:rFonts w:hint="default"/>
          <w:lang w:val="en-US" w:eastAsia="zh-CN"/>
        </w:rPr>
        <w:t>招聘计划与需求管理</w:t>
      </w:r>
      <w:bookmarkEnd w:id="9"/>
    </w:p>
    <w:p w14:paraId="547343DF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" w:name="_Toc5997"/>
      <w:r>
        <w:rPr>
          <w:rFonts w:hint="default"/>
          <w:lang w:val="en-US" w:eastAsia="zh-CN"/>
        </w:rPr>
        <w:t>需求提报</w:t>
      </w:r>
      <w:bookmarkEnd w:id="10"/>
    </w:p>
    <w:p w14:paraId="2EA2444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各部门根据业务规划、项目立项或人员缺口，填写《人员需求申请表》，说明需求原因、岗位名称、人数、到岗时间及详细的任职要求。</w:t>
      </w:r>
    </w:p>
    <w:p w14:paraId="2B07A70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需求提报应具有前瞻性，通常应提前一个月提交至人力资源部。</w:t>
      </w:r>
    </w:p>
    <w:p w14:paraId="51CAEA4F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1" w:name="_Toc2743"/>
      <w:r>
        <w:rPr>
          <w:rFonts w:hint="default"/>
          <w:lang w:val="en-US" w:eastAsia="zh-CN"/>
        </w:rPr>
        <w:t>计划制定与审批</w:t>
      </w:r>
      <w:bookmarkEnd w:id="11"/>
    </w:p>
    <w:p w14:paraId="50706AB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人力资源部汇总审核各部门需求，结合公司人力资源规划、预算及市场情况，制定《招聘计划》。</w:t>
      </w:r>
    </w:p>
    <w:p w14:paraId="3E63230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《招聘计划》应包括招聘岗位、人数、渠道、预算、时间表等内容，报公司领导审批后执行。</w:t>
      </w:r>
    </w:p>
    <w:p w14:paraId="6A8F33F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对于突发性或临时性需求，可按紧急流程进行专项审批。</w:t>
      </w:r>
    </w:p>
    <w:p w14:paraId="796E7357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2" w:name="_Toc30343"/>
      <w:r>
        <w:rPr>
          <w:rFonts w:hint="default"/>
          <w:lang w:val="en-US" w:eastAsia="zh-CN"/>
        </w:rPr>
        <w:t>招聘实施流程</w:t>
      </w:r>
      <w:bookmarkEnd w:id="12"/>
    </w:p>
    <w:p w14:paraId="2D4A5C1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渠道选择与信息发布： 人力资源部根据岗位特性，选择网络平台、校园招聘、内部推荐、行业招聘会等渠道发布招聘信息。</w:t>
      </w:r>
    </w:p>
    <w:p w14:paraId="1CC11BB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简历收集与筛选：</w:t>
      </w:r>
    </w:p>
    <w:p w14:paraId="29AA00C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人力资源部统一接收应聘简历，进行初步筛选，剔除明显不符合基本条件者。</w:t>
      </w:r>
    </w:p>
    <w:p w14:paraId="784A789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将初步筛选后的简历提交至用人部门进行专业资格复审，共同确定面试候选人名单。</w:t>
      </w:r>
    </w:p>
    <w:p w14:paraId="18E2671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面试组织与评估：</w:t>
      </w:r>
    </w:p>
    <w:p w14:paraId="33CA4B2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初试：通常由人力资源部组织，主要考察应聘者的综合素质、求职动机、职业规划、薪酬期望及与公司文化的契合度。</w:t>
      </w:r>
    </w:p>
    <w:p w14:paraId="6DBE91A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复试（专业面试）：由用人部门主导，可包含笔试、技能实操、案例讨论等形式，深入考察专业能力、解决问题能力及团队协作潜力。面试官需填写《面试评估表》。</w:t>
      </w:r>
    </w:p>
    <w:p w14:paraId="64E689E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对于关键岗位，可安排多轮面试或由公司高层领导参与终面。</w:t>
      </w:r>
    </w:p>
    <w:p w14:paraId="0AE0682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背景调查：对拟录用的候选人，经其同意后，人力资源部可对其学历、工作经历等信息进行必要的核实。</w:t>
      </w:r>
    </w:p>
    <w:p w14:paraId="7FDE2C23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3" w:name="_Toc8641"/>
      <w:r>
        <w:rPr>
          <w:rFonts w:hint="default"/>
          <w:lang w:val="en-US" w:eastAsia="zh-CN"/>
        </w:rPr>
        <w:t>录用、审批与入职</w:t>
      </w:r>
      <w:bookmarkEnd w:id="13"/>
    </w:p>
    <w:p w14:paraId="3B549C4C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4" w:name="_Toc21760"/>
      <w:r>
        <w:rPr>
          <w:rFonts w:hint="default"/>
          <w:lang w:val="en-US" w:eastAsia="zh-CN"/>
        </w:rPr>
        <w:t>录用决策与审批</w:t>
      </w:r>
      <w:bookmarkEnd w:id="14"/>
    </w:p>
    <w:p w14:paraId="4F7728A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人力资源部综合面试评估结果，与用人部门协商确定建议录用人选及薪酬方案。</w:t>
      </w:r>
    </w:p>
    <w:p w14:paraId="1930D42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填写《员工录用审批表》，附面试评估记录，按权限报批。</w:t>
      </w:r>
    </w:p>
    <w:p w14:paraId="28736DD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录用通知： 审批通过后，人力资源部向被录用者发放书面或电子版《录用通知书》，明确岗位、薪酬、报到时间、地点及所需材料。</w:t>
      </w:r>
    </w:p>
    <w:p w14:paraId="4354EAC7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5" w:name="_Toc22956"/>
      <w:r>
        <w:rPr>
          <w:rFonts w:hint="default"/>
          <w:lang w:val="en-US" w:eastAsia="zh-CN"/>
        </w:rPr>
        <w:t>入职报到手续</w:t>
      </w:r>
      <w:bookmarkEnd w:id="15"/>
    </w:p>
    <w:p w14:paraId="3F6EEA5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新员工按期至人力资源部报到，提交身份证、学历学位证、资格证书等原件及复印件。</w:t>
      </w:r>
    </w:p>
    <w:p w14:paraId="082F032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签订《劳动合同》、《保密协议》等法律文件。</w:t>
      </w:r>
    </w:p>
    <w:p w14:paraId="3E9C1E9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人力资源部进行入职登记，介绍公司基本规章制度、考勤方式，发放办公用品，安排办公位置。</w:t>
      </w:r>
    </w:p>
    <w:p w14:paraId="11917758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6" w:name="_Toc30945"/>
      <w:r>
        <w:rPr>
          <w:rFonts w:hint="default"/>
          <w:lang w:val="en-US" w:eastAsia="zh-CN"/>
        </w:rPr>
        <w:t>入职引导与培训</w:t>
      </w:r>
      <w:bookmarkEnd w:id="16"/>
    </w:p>
    <w:p w14:paraId="1047F2F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人力资源部组织公司级入职培训（公司概况、文化、制度、安全等）。</w:t>
      </w:r>
    </w:p>
    <w:p w14:paraId="36F35CD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用人部门负责部门级岗前培训，指定导师，介绍岗位职责、工作流程、团队情况及相关业务知识。</w:t>
      </w:r>
    </w:p>
    <w:p w14:paraId="37287B1F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7" w:name="_Toc14916"/>
      <w:r>
        <w:rPr>
          <w:rFonts w:hint="default"/>
          <w:lang w:val="en-US" w:eastAsia="zh-CN"/>
        </w:rPr>
        <w:t>试用期与转正管理</w:t>
      </w:r>
      <w:bookmarkEnd w:id="17"/>
    </w:p>
    <w:p w14:paraId="6116754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试用期规定： 新员工均设试用期，期限依据《劳动合同法》及劳动合同约定执行，通常为1-3个月。</w:t>
      </w:r>
    </w:p>
    <w:p w14:paraId="09163CF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试用期考核：</w:t>
      </w:r>
    </w:p>
    <w:p w14:paraId="0CA53110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试用期满前，由人力资源部发起转正流程。</w:t>
      </w:r>
    </w:p>
    <w:p w14:paraId="18857C80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用人部门对新员工试用期工作表现进行全面评估，填写《试用期考核表》。</w:t>
      </w:r>
    </w:p>
    <w:p w14:paraId="4C55BCA7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考核内容应包括工作态度、能力体现、任务完成情况及文化融入度。</w:t>
      </w:r>
    </w:p>
    <w:p w14:paraId="39E5F4E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转正审批：</w:t>
      </w:r>
    </w:p>
    <w:p w14:paraId="0FAE09F2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考核合格者，办理正式转正手续，确定转正后薪酬福利。</w:t>
      </w:r>
    </w:p>
    <w:p w14:paraId="0F95C33A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考核不合格者，可根据实际情况依法解除劳动关系，或协商调整岗位、延长试用期。</w:t>
      </w:r>
    </w:p>
    <w:p w14:paraId="2DB53414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8" w:name="_Toc25860"/>
      <w:r>
        <w:rPr>
          <w:rFonts w:hint="eastAsia"/>
          <w:lang w:val="en-US" w:eastAsia="zh-CN"/>
        </w:rPr>
        <w:t>考核指标</w:t>
      </w:r>
      <w:bookmarkEnd w:id="18"/>
    </w:p>
    <w:tbl>
      <w:tblPr>
        <w:tblStyle w:val="20"/>
        <w:tblW w:w="7675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7"/>
        <w:gridCol w:w="888"/>
        <w:gridCol w:w="3552"/>
        <w:gridCol w:w="1308"/>
      </w:tblGrid>
      <w:tr w14:paraId="1E29A1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192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22131E4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KPI</w:t>
            </w:r>
          </w:p>
        </w:tc>
        <w:tc>
          <w:tcPr>
            <w:tcW w:w="8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498911C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目标值</w:t>
            </w:r>
          </w:p>
        </w:tc>
        <w:tc>
          <w:tcPr>
            <w:tcW w:w="355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7B3C108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计算公式/方法</w:t>
            </w:r>
          </w:p>
        </w:tc>
        <w:tc>
          <w:tcPr>
            <w:tcW w:w="1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3A5F199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频度</w:t>
            </w:r>
          </w:p>
        </w:tc>
      </w:tr>
      <w:tr w14:paraId="400CAC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192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BF86C3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招聘计划达成率</w:t>
            </w:r>
          </w:p>
        </w:tc>
        <w:tc>
          <w:tcPr>
            <w:tcW w:w="8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4FFF54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≥95%</w:t>
            </w:r>
          </w:p>
        </w:tc>
        <w:tc>
          <w:tcPr>
            <w:tcW w:w="355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7ABDFC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实际聘用人数/计划招聘人数*100%</w:t>
            </w:r>
          </w:p>
        </w:tc>
        <w:tc>
          <w:tcPr>
            <w:tcW w:w="1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234E8B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季度</w:t>
            </w:r>
          </w:p>
        </w:tc>
      </w:tr>
    </w:tbl>
    <w:p w14:paraId="4F6DAE43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9" w:name="_Toc29753"/>
      <w:r>
        <w:rPr>
          <w:rFonts w:hint="default"/>
          <w:lang w:val="en-US" w:eastAsia="zh-CN"/>
        </w:rPr>
        <w:t>附则</w:t>
      </w:r>
      <w:bookmarkEnd w:id="19"/>
    </w:p>
    <w:p w14:paraId="26C5767F">
      <w:pPr>
        <w:pStyle w:val="2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本制度由人力资源部负责解释与修订。</w:t>
      </w:r>
    </w:p>
    <w:p w14:paraId="3D2FE6CF">
      <w:pPr>
        <w:pStyle w:val="2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本制度自发布之日起生效，原相关规定与之冲突的，以本制度为准。</w:t>
      </w:r>
    </w:p>
    <w:p w14:paraId="13DD7C2B">
      <w:pPr>
        <w:pStyle w:val="2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本制度涉及的相关记录表单（《人员需求申请表》、《面试评估表》、《员工录用审批表》、《试用期考核表》等）由人力资源部负责设计与管理。</w:t>
      </w:r>
    </w:p>
    <w:sectPr>
      <w:headerReference r:id="rId5" w:type="default"/>
      <w:footerReference r:id="rId6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F9CC6125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7ECD415">
    <w:pPr>
      <w:pStyle w:val="14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27D12AF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9DCAE17"/>
    <w:multiLevelType w:val="singleLevel"/>
    <w:tmpl w:val="99DCAE1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B80CE53C"/>
    <w:multiLevelType w:val="singleLevel"/>
    <w:tmpl w:val="B80CE53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C41C6DB7"/>
    <w:multiLevelType w:val="singleLevel"/>
    <w:tmpl w:val="C41C6DB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261C73BA"/>
    <w:multiLevelType w:val="singleLevel"/>
    <w:tmpl w:val="261C73B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53FB17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2205</Words>
  <Characters>2313</Characters>
  <Lines>0</Lines>
  <Paragraphs>0</Paragraphs>
  <TotalTime>0</TotalTime>
  <ScaleCrop>false</ScaleCrop>
  <LinksUpToDate>false</LinksUpToDate>
  <CharactersWithSpaces>2390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2026-04-24T17:27:45Z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