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58EB49B2">
      <w:pPr>
        <w:pStyle w:val="24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before="3120" w:beforeLines="1000"/>
        <w:textAlignment w:val="baseline"/>
      </w:pPr>
      <w:bookmarkStart w:id="0" w:name="_Toc27873"/>
      <w:r>
        <w:drawing>
          <wp:anchor distT="0" distB="0" distL="114300" distR="114300" simplePos="0" relativeHeight="251661312" behindDoc="1" locked="0" layoutInCell="1" allowOverlap="1">
            <wp:simplePos x="0" y="0"/>
            <wp:positionH relativeFrom="column">
              <wp:posOffset>-19050</wp:posOffset>
            </wp:positionH>
            <wp:positionV relativeFrom="paragraph">
              <wp:posOffset>-22225</wp:posOffset>
            </wp:positionV>
            <wp:extent cx="5304790" cy="8893810"/>
            <wp:effectExtent l="0" t="0" r="13970" b="6350"/>
            <wp:wrapNone/>
            <wp:docPr id="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图片 1"/>
                    <pic:cNvPicPr>
                      <a:picLocks noChangeAspect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304790" cy="88938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>
        <w:drawing>
          <wp:anchor distT="0" distB="0" distL="114300" distR="114300" simplePos="0" relativeHeight="251660288" behindDoc="1" locked="0" layoutInCell="1" allowOverlap="1">
            <wp:simplePos x="0" y="0"/>
            <wp:positionH relativeFrom="column">
              <wp:posOffset>0</wp:posOffset>
            </wp:positionH>
            <wp:positionV relativeFrom="paragraph">
              <wp:posOffset>0</wp:posOffset>
            </wp:positionV>
            <wp:extent cx="5273675" cy="8843645"/>
            <wp:effectExtent l="0" t="0" r="14605" b="10795"/>
            <wp:wrapNone/>
            <wp:docPr id="3" name="图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图片 3"/>
                    <pic:cNvPicPr>
                      <a:picLocks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273675" cy="88436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>
        <w:rPr>
          <w:rFonts w:hint="eastAsia"/>
          <w:lang w:val="en-US" w:eastAsia="zh-CN"/>
        </w:rPr>
        <w:drawing>
          <wp:anchor distT="0" distB="0" distL="114300" distR="114300" simplePos="0" relativeHeight="251659264" behindDoc="1" locked="0" layoutInCell="1" allowOverlap="1">
            <wp:simplePos x="0" y="0"/>
            <wp:positionH relativeFrom="column">
              <wp:posOffset>635</wp:posOffset>
            </wp:positionH>
            <wp:positionV relativeFrom="paragraph">
              <wp:posOffset>3810</wp:posOffset>
            </wp:positionV>
            <wp:extent cx="5269865" cy="8856980"/>
            <wp:effectExtent l="0" t="0" r="3175" b="12700"/>
            <wp:wrapNone/>
            <wp:docPr id="2" name="图片 2" descr="微信图片_20250926153852_981_8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图片 2" descr="微信图片_20250926153852_981_83"/>
                    <pic:cNvPicPr>
                      <a:picLocks noChangeAspect="1"/>
                    </pic:cNvPicPr>
                  </pic:nvPicPr>
                  <pic:blipFill>
                    <a:blip r:embed="rId10">
                      <a:alphaModFix amt="58000"/>
                      <a:lum contrast="-52000"/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69865" cy="885698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hint="eastAsia"/>
          <w:lang w:val="en-US" w:eastAsia="zh-CN"/>
        </w:rPr>
        <w:t>桐乡华数广电网络有限公司</w:t>
      </w:r>
      <w:bookmarkEnd w:id="0"/>
    </w:p>
    <w:p w14:paraId="7DC847B6">
      <w:pPr>
        <w:pStyle w:val="25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before="0" w:after="624" w:afterLines="200"/>
        <w:textAlignment w:val="baseline"/>
        <w:rPr>
          <w:rFonts w:hint="eastAsia"/>
          <w:lang w:val="en-US" w:eastAsia="zh-CN"/>
        </w:rPr>
      </w:pPr>
      <w:bookmarkStart w:id="1" w:name="_Toc11118"/>
      <w:r>
        <w:rPr>
          <w:rFonts w:hint="eastAsia"/>
          <w:lang w:val="en-US" w:eastAsia="zh-CN"/>
        </w:rPr>
        <w:t>人员工作交接管理制度</w:t>
      </w:r>
      <w:bookmarkEnd w:id="1"/>
    </w:p>
    <w:p w14:paraId="429F47B9"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after="624" w:afterLines="200" w:line="219" w:lineRule="auto"/>
        <w:ind w:left="0" w:leftChars="0" w:right="0" w:rightChars="0" w:firstLine="0" w:firstLineChars="0"/>
        <w:jc w:val="center"/>
        <w:textAlignment w:val="baseline"/>
        <w:rPr>
          <w:rFonts w:hint="eastAsia" w:ascii="宋体" w:hAnsi="宋体" w:eastAsia="宋体" w:cs="宋体"/>
          <w:sz w:val="24"/>
          <w:szCs w:val="24"/>
          <w:lang w:val="en-US" w:eastAsia="zh-CN"/>
        </w:rPr>
      </w:pPr>
      <w:r>
        <w:rPr>
          <w:rFonts w:ascii="宋体" w:hAnsi="宋体" w:eastAsia="宋体" w:cs="宋体"/>
          <w:b/>
          <w:bCs/>
          <w:spacing w:val="-3"/>
          <w:sz w:val="24"/>
          <w:szCs w:val="24"/>
        </w:rPr>
        <w:t>文件编号：</w:t>
      </w:r>
      <w:r>
        <w:rPr>
          <w:rFonts w:hint="eastAsia" w:ascii="宋体" w:hAnsi="宋体" w:eastAsia="宋体" w:cs="宋体"/>
          <w:b/>
          <w:bCs/>
          <w:spacing w:val="-3"/>
          <w:sz w:val="24"/>
          <w:szCs w:val="24"/>
          <w:lang w:val="en-US" w:eastAsia="zh-CN"/>
        </w:rPr>
        <w:t>TXHS</w:t>
      </w:r>
      <w:r>
        <w:rPr>
          <w:rFonts w:ascii="宋体" w:hAnsi="宋体" w:eastAsia="宋体" w:cs="宋体"/>
          <w:b/>
          <w:bCs/>
          <w:spacing w:val="-3"/>
          <w:sz w:val="24"/>
          <w:szCs w:val="24"/>
        </w:rPr>
        <w:t>-0</w:t>
      </w:r>
      <w:r>
        <w:rPr>
          <w:rFonts w:hint="eastAsia" w:ascii="宋体" w:hAnsi="宋体" w:eastAsia="宋体" w:cs="宋体"/>
          <w:b/>
          <w:bCs/>
          <w:spacing w:val="-3"/>
          <w:sz w:val="24"/>
          <w:szCs w:val="24"/>
          <w:lang w:val="en-US" w:eastAsia="zh-CN"/>
        </w:rPr>
        <w:t>5</w:t>
      </w:r>
      <w:r>
        <w:rPr>
          <w:rFonts w:ascii="宋体" w:hAnsi="宋体" w:eastAsia="宋体" w:cs="宋体"/>
          <w:b/>
          <w:bCs/>
          <w:spacing w:val="-3"/>
          <w:sz w:val="24"/>
          <w:szCs w:val="24"/>
        </w:rPr>
        <w:t>-0</w:t>
      </w:r>
      <w:r>
        <w:rPr>
          <w:rFonts w:hint="eastAsia" w:ascii="宋体" w:hAnsi="宋体" w:cs="宋体"/>
          <w:b/>
          <w:bCs/>
          <w:spacing w:val="-3"/>
          <w:sz w:val="24"/>
          <w:szCs w:val="24"/>
          <w:lang w:val="en-US" w:eastAsia="zh-CN"/>
        </w:rPr>
        <w:t>8</w:t>
      </w:r>
    </w:p>
    <w:tbl>
      <w:tblPr>
        <w:tblStyle w:val="21"/>
        <w:tblW w:w="0" w:type="auto"/>
        <w:jc w:val="center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432"/>
        <w:gridCol w:w="2708"/>
      </w:tblGrid>
      <w:tr w14:paraId="5421C3BE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810" w:hRule="atLeast"/>
          <w:jc w:val="center"/>
        </w:trPr>
        <w:tc>
          <w:tcPr>
            <w:tcW w:w="2432" w:type="dxa"/>
          </w:tcPr>
          <w:p w14:paraId="1252DCFB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编制部门</w:t>
            </w:r>
            <w:r>
              <w:rPr>
                <w:rFonts w:hint="default" w:asciiTheme="minorAscii" w:hAnsiTheme="minorAscii" w:eastAsiaTheme="minor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vertAlign w:val="baseline"/>
                <w:lang w:val="en-US" w:eastAsia="zh-CN"/>
              </w:rPr>
              <w:t>人力资源部</w:t>
            </w:r>
          </w:p>
        </w:tc>
        <w:tc>
          <w:tcPr>
            <w:tcW w:w="2708" w:type="dxa"/>
          </w:tcPr>
          <w:p w14:paraId="2017BEC1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编制时间</w:t>
            </w:r>
            <w:r>
              <w:rPr>
                <w:rFonts w:hint="eastAsia" w:asciiTheme="minorAscii" w:hAnsiTheme="minorAscii" w:eastAsiaTheme="minor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vertAlign w:val="baseline"/>
                <w:lang w:val="en-US" w:eastAsia="zh-CN"/>
              </w:rPr>
              <w:t>2025.01.10</w:t>
            </w:r>
          </w:p>
        </w:tc>
      </w:tr>
      <w:tr w14:paraId="68D90A13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810" w:hRule="atLeast"/>
          <w:jc w:val="center"/>
        </w:trPr>
        <w:tc>
          <w:tcPr>
            <w:tcW w:w="2432" w:type="dxa"/>
            <w:shd w:val="clear" w:color="auto" w:fill="auto"/>
          </w:tcPr>
          <w:p w14:paraId="23F5FA95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 w:ascii="Arial" w:hAnsi="Arial" w:eastAsia="Arial" w:cs="Arial"/>
                <w:snapToGrid w:val="0"/>
                <w:color w:val="000000"/>
                <w:kern w:val="0"/>
                <w:sz w:val="21"/>
                <w:szCs w:val="21"/>
                <w:vertAlign w:val="baseline"/>
                <w:lang w:val="en-US" w:eastAsia="zh-CN" w:bidi="ar-SA"/>
              </w:rPr>
            </w:pPr>
            <w:r>
              <w:rPr>
                <w:rFonts w:hint="eastAsia"/>
                <w:spacing w:val="210"/>
                <w:kern w:val="0"/>
                <w:vertAlign w:val="baseline"/>
                <w:lang w:val="en-US" w:eastAsia="zh-CN"/>
              </w:rPr>
              <w:t>版</w:t>
            </w:r>
            <w:r>
              <w:rPr>
                <w:rFonts w:hint="eastAsia"/>
                <w:spacing w:val="0"/>
                <w:kern w:val="0"/>
                <w:vertAlign w:val="baseline"/>
                <w:lang w:val="en-US" w:eastAsia="zh-CN"/>
              </w:rPr>
              <w:t>本</w:t>
            </w:r>
            <w:r>
              <w:rPr>
                <w:rFonts w:hint="default" w:asciiTheme="minorAscii" w:hAnsiTheme="minorAscii" w:eastAsiaTheme="minor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spacing w:val="66"/>
                <w:kern w:val="0"/>
                <w:u w:val="single"/>
                <w:vertAlign w:val="baseline"/>
                <w:lang w:val="en-US" w:eastAsia="zh-CN"/>
              </w:rPr>
              <w:t>V2.</w:t>
            </w:r>
            <w:r>
              <w:rPr>
                <w:rFonts w:hint="eastAsia"/>
                <w:spacing w:val="0"/>
                <w:kern w:val="0"/>
                <w:u w:val="single"/>
                <w:vertAlign w:val="baseline"/>
                <w:lang w:val="en-US" w:eastAsia="zh-CN"/>
              </w:rPr>
              <w:t>0</w:t>
            </w:r>
          </w:p>
        </w:tc>
        <w:tc>
          <w:tcPr>
            <w:tcW w:w="2708" w:type="dxa"/>
            <w:shd w:val="clear" w:color="auto" w:fill="auto"/>
          </w:tcPr>
          <w:p w14:paraId="34B33240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 w:ascii="Arial" w:hAnsi="Arial" w:eastAsia="Arial" w:cs="Arial"/>
                <w:snapToGrid w:val="0"/>
                <w:color w:val="000000"/>
                <w:kern w:val="0"/>
                <w:sz w:val="21"/>
                <w:szCs w:val="21"/>
                <w:vertAlign w:val="baseline"/>
                <w:lang w:val="en-US" w:eastAsia="zh-CN" w:bidi="ar-SA"/>
              </w:rPr>
            </w:pPr>
            <w:bookmarkStart w:id="25" w:name="_GoBack"/>
            <w:r>
              <w:rPr>
                <w:rFonts w:hint="eastAsia"/>
                <w:vertAlign w:val="baseline"/>
                <w:lang w:val="en-US" w:eastAsia="zh-CN"/>
              </w:rPr>
              <w:t>审核时间</w:t>
            </w:r>
            <w:bookmarkEnd w:id="25"/>
            <w:r>
              <w:rPr>
                <w:rFonts w:hint="eastAsia" w:asciiTheme="minorAscii" w:hAnsiTheme="minorAscii" w:eastAsiaTheme="minor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vertAlign w:val="baseline"/>
                <w:lang w:val="en-US" w:eastAsia="zh-CN"/>
              </w:rPr>
              <w:t>2025.01.10</w:t>
            </w:r>
          </w:p>
        </w:tc>
      </w:tr>
      <w:tr w14:paraId="0B0256EA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35" w:hRule="atLeast"/>
          <w:jc w:val="center"/>
        </w:trPr>
        <w:tc>
          <w:tcPr>
            <w:tcW w:w="2432" w:type="dxa"/>
          </w:tcPr>
          <w:p w14:paraId="45B7DE5D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spacing w:val="52"/>
                <w:kern w:val="0"/>
                <w:vertAlign w:val="baseline"/>
                <w:lang w:val="en-US" w:eastAsia="zh-CN"/>
              </w:rPr>
              <w:t>批准</w:t>
            </w:r>
            <w:r>
              <w:rPr>
                <w:rFonts w:hint="eastAsia"/>
                <w:spacing w:val="1"/>
                <w:kern w:val="0"/>
                <w:vertAlign w:val="baseline"/>
                <w:lang w:val="en-US" w:eastAsia="zh-CN"/>
              </w:rPr>
              <w:t>人</w:t>
            </w:r>
            <w:r>
              <w:rPr>
                <w:rFonts w:hint="eastAsia" w:asciiTheme="minorAscii" w:hAnsiTheme="minorAscii" w:eastAsiaTheme="minor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lang w:val="en-US" w:eastAsia="zh-CN"/>
              </w:rPr>
              <w:t>吴亚红</w:t>
            </w:r>
          </w:p>
        </w:tc>
        <w:tc>
          <w:tcPr>
            <w:tcW w:w="2708" w:type="dxa"/>
          </w:tcPr>
          <w:p w14:paraId="1F3C634E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审批时间</w:t>
            </w:r>
            <w:r>
              <w:rPr>
                <w:rFonts w:hint="eastAsia" w:asciiTheme="minorAscii" w:hAnsiTheme="minorAscii" w:eastAsiaTheme="minor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vertAlign w:val="baseline"/>
                <w:lang w:val="en-US" w:eastAsia="zh-CN"/>
              </w:rPr>
              <w:t>2025.01.10</w:t>
            </w:r>
          </w:p>
        </w:tc>
      </w:tr>
    </w:tbl>
    <w:p w14:paraId="50D26082">
      <w:pPr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</w:pPr>
      <w:r>
        <w:br w:type="page"/>
      </w:r>
    </w:p>
    <w:p w14:paraId="0E9EC3C7">
      <w:pPr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spacing w:before="153" w:line="225" w:lineRule="auto"/>
        <w:ind w:left="3634"/>
        <w:textAlignment w:val="baseline"/>
        <w:rPr>
          <w:rFonts w:ascii="宋体" w:hAnsi="宋体" w:eastAsia="宋体" w:cs="宋体"/>
          <w:sz w:val="31"/>
          <w:szCs w:val="31"/>
        </w:rPr>
      </w:pPr>
      <w:r>
        <w:rPr>
          <w:rFonts w:ascii="宋体" w:hAnsi="宋体" w:eastAsia="宋体" w:cs="宋体"/>
          <w:b/>
          <w:bCs/>
          <w:spacing w:val="4"/>
          <w:sz w:val="31"/>
          <w:szCs w:val="31"/>
        </w:rPr>
        <w:t>修订记录</w:t>
      </w:r>
    </w:p>
    <w:tbl>
      <w:tblPr>
        <w:tblStyle w:val="26"/>
        <w:tblW w:w="8214" w:type="dxa"/>
        <w:jc w:val="center"/>
        <w:tblBorders>
          <w:top w:val="single" w:color="000000" w:sz="2" w:space="0"/>
          <w:left w:val="single" w:color="000000" w:sz="2" w:space="0"/>
          <w:bottom w:val="single" w:color="000000" w:sz="2" w:space="0"/>
          <w:right w:val="single" w:color="000000" w:sz="2" w:space="0"/>
          <w:insideH w:val="single" w:color="000000" w:sz="2" w:space="0"/>
          <w:insideV w:val="single" w:color="000000" w:sz="2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317"/>
        <w:gridCol w:w="972"/>
        <w:gridCol w:w="1575"/>
        <w:gridCol w:w="1829"/>
        <w:gridCol w:w="1606"/>
        <w:gridCol w:w="915"/>
      </w:tblGrid>
      <w:tr w14:paraId="1562C82C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93" w:hRule="atLeast"/>
          <w:jc w:val="center"/>
        </w:trPr>
        <w:tc>
          <w:tcPr>
            <w:tcW w:w="1317" w:type="dxa"/>
          </w:tcPr>
          <w:p w14:paraId="223D778A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6" w:line="228" w:lineRule="auto"/>
              <w:ind w:left="0" w:leftChars="0" w:right="0" w:rightChars="0" w:firstLine="0" w:firstLineChars="0"/>
              <w:jc w:val="center"/>
              <w:textAlignment w:val="baseline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hint="eastAsia" w:ascii="宋体" w:hAnsi="宋体" w:cs="宋体"/>
                <w:spacing w:val="-14"/>
                <w:sz w:val="20"/>
                <w:szCs w:val="20"/>
                <w:lang w:val="en-US" w:eastAsia="zh-CN"/>
              </w:rPr>
              <w:t>修订</w:t>
            </w:r>
            <w:r>
              <w:rPr>
                <w:rFonts w:ascii="宋体" w:hAnsi="宋体" w:eastAsia="宋体" w:cs="宋体"/>
                <w:spacing w:val="-14"/>
                <w:sz w:val="20"/>
                <w:szCs w:val="20"/>
              </w:rPr>
              <w:t>日期</w:t>
            </w:r>
          </w:p>
        </w:tc>
        <w:tc>
          <w:tcPr>
            <w:tcW w:w="972" w:type="dxa"/>
          </w:tcPr>
          <w:p w14:paraId="2541CE59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5" w:line="227" w:lineRule="auto"/>
              <w:ind w:left="0" w:leftChars="0" w:right="0" w:rightChars="0" w:firstLine="0" w:firstLineChars="0"/>
              <w:jc w:val="center"/>
              <w:textAlignment w:val="baseline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pacing w:val="4"/>
                <w:sz w:val="20"/>
                <w:szCs w:val="20"/>
              </w:rPr>
              <w:t>版本</w:t>
            </w:r>
          </w:p>
        </w:tc>
        <w:tc>
          <w:tcPr>
            <w:tcW w:w="1575" w:type="dxa"/>
          </w:tcPr>
          <w:p w14:paraId="7608C770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5" w:line="228" w:lineRule="auto"/>
              <w:ind w:left="0" w:leftChars="0" w:right="0" w:rightChars="0" w:firstLine="0" w:firstLineChars="0"/>
              <w:jc w:val="center"/>
              <w:textAlignment w:val="baseline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pacing w:val="7"/>
                <w:sz w:val="20"/>
                <w:szCs w:val="20"/>
              </w:rPr>
              <w:t>变更说明</w:t>
            </w:r>
          </w:p>
        </w:tc>
        <w:tc>
          <w:tcPr>
            <w:tcW w:w="1829" w:type="dxa"/>
          </w:tcPr>
          <w:p w14:paraId="679147E8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5" w:line="228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eastAsia" w:ascii="宋体" w:hAnsi="宋体" w:eastAsia="宋体" w:cs="宋体"/>
                <w:spacing w:val="7"/>
                <w:sz w:val="20"/>
                <w:szCs w:val="20"/>
                <w:lang w:val="en-US" w:eastAsia="zh-CN"/>
              </w:rPr>
            </w:pPr>
            <w:r>
              <w:rPr>
                <w:rFonts w:hint="eastAsia" w:ascii="宋体" w:hAnsi="宋体" w:cs="宋体"/>
                <w:spacing w:val="7"/>
                <w:sz w:val="20"/>
                <w:szCs w:val="20"/>
                <w:lang w:val="en-US" w:eastAsia="zh-CN"/>
              </w:rPr>
              <w:t>修订人</w:t>
            </w:r>
          </w:p>
        </w:tc>
        <w:tc>
          <w:tcPr>
            <w:tcW w:w="1606" w:type="dxa"/>
          </w:tcPr>
          <w:p w14:paraId="523BFB31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5" w:line="228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宋体" w:hAnsi="宋体" w:cs="宋体"/>
                <w:spacing w:val="7"/>
                <w:sz w:val="20"/>
                <w:szCs w:val="20"/>
                <w:lang w:val="en-US" w:eastAsia="zh-CN"/>
              </w:rPr>
            </w:pPr>
            <w:r>
              <w:rPr>
                <w:rFonts w:hint="eastAsia" w:ascii="宋体" w:hAnsi="宋体" w:cs="宋体"/>
                <w:spacing w:val="7"/>
                <w:sz w:val="20"/>
                <w:szCs w:val="20"/>
                <w:lang w:val="en-US" w:eastAsia="zh-CN"/>
              </w:rPr>
              <w:t>审批人</w:t>
            </w:r>
          </w:p>
        </w:tc>
        <w:tc>
          <w:tcPr>
            <w:tcW w:w="915" w:type="dxa"/>
          </w:tcPr>
          <w:p w14:paraId="19645E56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6" w:line="229" w:lineRule="auto"/>
              <w:ind w:left="0" w:leftChars="0" w:right="0" w:rightChars="0" w:firstLine="0" w:firstLineChars="0"/>
              <w:jc w:val="center"/>
              <w:textAlignment w:val="baseline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pacing w:val="7"/>
                <w:sz w:val="20"/>
                <w:szCs w:val="20"/>
              </w:rPr>
              <w:t>批准人</w:t>
            </w:r>
          </w:p>
        </w:tc>
      </w:tr>
      <w:tr w14:paraId="3E61317B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16" w:hRule="atLeast"/>
          <w:jc w:val="center"/>
        </w:trPr>
        <w:tc>
          <w:tcPr>
            <w:tcW w:w="1317" w:type="dxa"/>
            <w:shd w:val="clear" w:color="auto" w:fill="auto"/>
          </w:tcPr>
          <w:p w14:paraId="2F4B96E2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3" w:line="267" w:lineRule="exact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宋体" w:hAnsi="宋体" w:eastAsia="宋体" w:cs="宋体"/>
                <w:snapToGrid w:val="0"/>
                <w:color w:val="000000"/>
                <w:kern w:val="0"/>
                <w:sz w:val="20"/>
                <w:szCs w:val="20"/>
                <w:lang w:val="en-US" w:eastAsia="en-US" w:bidi="ar-SA"/>
              </w:rPr>
            </w:pPr>
            <w:r>
              <w:rPr>
                <w:rFonts w:ascii="宋体" w:hAnsi="宋体" w:eastAsia="宋体" w:cs="宋体"/>
                <w:spacing w:val="3"/>
                <w:position w:val="1"/>
                <w:sz w:val="20"/>
                <w:szCs w:val="20"/>
              </w:rPr>
              <w:t>2022.6.20</w:t>
            </w:r>
          </w:p>
        </w:tc>
        <w:tc>
          <w:tcPr>
            <w:tcW w:w="972" w:type="dxa"/>
            <w:shd w:val="clear" w:color="auto" w:fill="auto"/>
          </w:tcPr>
          <w:p w14:paraId="058F54D7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3" w:line="267" w:lineRule="exact"/>
              <w:ind w:left="0" w:leftChars="0" w:right="0" w:rightChars="0" w:firstLine="0" w:firstLineChars="0"/>
              <w:jc w:val="center"/>
              <w:textAlignment w:val="baseline"/>
              <w:rPr>
                <w:rFonts w:ascii="宋体" w:hAnsi="宋体" w:eastAsia="宋体" w:cs="宋体"/>
                <w:snapToGrid w:val="0"/>
                <w:color w:val="000000"/>
                <w:kern w:val="0"/>
                <w:sz w:val="20"/>
                <w:szCs w:val="20"/>
                <w:lang w:val="en-US" w:eastAsia="en-US" w:bidi="ar-SA"/>
              </w:rPr>
            </w:pPr>
            <w:r>
              <w:rPr>
                <w:rFonts w:ascii="宋体" w:hAnsi="宋体" w:eastAsia="宋体" w:cs="宋体"/>
                <w:spacing w:val="4"/>
                <w:position w:val="1"/>
                <w:sz w:val="20"/>
                <w:szCs w:val="20"/>
              </w:rPr>
              <w:t>V1.0</w:t>
            </w:r>
          </w:p>
        </w:tc>
        <w:tc>
          <w:tcPr>
            <w:tcW w:w="1575" w:type="dxa"/>
            <w:shd w:val="clear" w:color="auto" w:fill="auto"/>
          </w:tcPr>
          <w:p w14:paraId="2CFB8E32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2" w:line="228" w:lineRule="auto"/>
              <w:ind w:left="0" w:leftChars="0" w:right="0" w:rightChars="0" w:firstLine="0" w:firstLineChars="0"/>
              <w:jc w:val="center"/>
              <w:textAlignment w:val="baseline"/>
              <w:rPr>
                <w:rFonts w:ascii="宋体" w:hAnsi="宋体" w:eastAsia="宋体" w:cs="宋体"/>
                <w:snapToGrid w:val="0"/>
                <w:color w:val="000000"/>
                <w:kern w:val="0"/>
                <w:sz w:val="20"/>
                <w:szCs w:val="20"/>
                <w:lang w:val="en-US" w:eastAsia="en-US" w:bidi="ar-SA"/>
              </w:rPr>
            </w:pPr>
            <w:r>
              <w:rPr>
                <w:rFonts w:ascii="宋体" w:hAnsi="宋体" w:eastAsia="宋体" w:cs="宋体"/>
                <w:spacing w:val="200"/>
                <w:kern w:val="0"/>
                <w:sz w:val="20"/>
                <w:szCs w:val="20"/>
              </w:rPr>
              <w:t>新</w:t>
            </w:r>
            <w:r>
              <w:rPr>
                <w:rFonts w:ascii="宋体" w:hAnsi="宋体" w:eastAsia="宋体" w:cs="宋体"/>
                <w:spacing w:val="0"/>
                <w:kern w:val="0"/>
                <w:sz w:val="20"/>
                <w:szCs w:val="20"/>
              </w:rPr>
              <w:t>建</w:t>
            </w:r>
          </w:p>
        </w:tc>
        <w:tc>
          <w:tcPr>
            <w:tcW w:w="1829" w:type="dxa"/>
            <w:shd w:val="clear" w:color="auto" w:fill="auto"/>
          </w:tcPr>
          <w:p w14:paraId="6C58C9C7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2" w:line="228" w:lineRule="auto"/>
              <w:ind w:left="0" w:leftChars="0" w:right="0" w:rightChars="0" w:firstLine="0" w:firstLineChars="0"/>
              <w:jc w:val="center"/>
              <w:textAlignment w:val="baseline"/>
              <w:rPr>
                <w:rFonts w:ascii="宋体" w:hAnsi="宋体" w:eastAsia="宋体" w:cs="宋体"/>
                <w:snapToGrid w:val="0"/>
                <w:color w:val="000000"/>
                <w:spacing w:val="200"/>
                <w:kern w:val="0"/>
                <w:sz w:val="20"/>
                <w:szCs w:val="20"/>
                <w:lang w:val="en-US" w:eastAsia="en-US" w:bidi="ar-SA"/>
              </w:rPr>
            </w:pPr>
            <w:r>
              <w:rPr>
                <w:rFonts w:hint="eastAsia" w:ascii="宋体" w:hAnsi="宋体" w:eastAsia="宋体" w:cs="宋体"/>
                <w:spacing w:val="200"/>
                <w:kern w:val="0"/>
                <w:sz w:val="20"/>
                <w:szCs w:val="20"/>
                <w:lang w:val="en-US" w:eastAsia="zh-CN"/>
              </w:rPr>
              <w:t>吴夤</w:t>
            </w:r>
          </w:p>
        </w:tc>
        <w:tc>
          <w:tcPr>
            <w:tcW w:w="1606" w:type="dxa"/>
            <w:shd w:val="clear" w:color="auto" w:fill="auto"/>
          </w:tcPr>
          <w:p w14:paraId="0E955E12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3" w:line="229" w:lineRule="auto"/>
              <w:ind w:left="0" w:leftChars="0" w:right="0" w:rightChars="0" w:firstLine="0" w:firstLineChars="0"/>
              <w:jc w:val="center"/>
              <w:textAlignment w:val="baseline"/>
              <w:rPr>
                <w:rFonts w:ascii="宋体" w:hAnsi="宋体" w:eastAsia="宋体" w:cs="宋体"/>
                <w:snapToGrid w:val="0"/>
                <w:color w:val="000000"/>
                <w:spacing w:val="200"/>
                <w:kern w:val="0"/>
                <w:sz w:val="20"/>
                <w:szCs w:val="20"/>
                <w:lang w:val="en-US" w:eastAsia="en-US" w:bidi="ar-SA"/>
              </w:rPr>
            </w:pPr>
            <w:r>
              <w:rPr>
                <w:rFonts w:hint="eastAsia" w:asciiTheme="minorAscii" w:hAnsiTheme="minorAscii" w:eastAsiaTheme="minorEastAsia"/>
                <w:spacing w:val="0"/>
                <w:kern w:val="0"/>
                <w:sz w:val="21"/>
                <w:vertAlign w:val="baseline"/>
                <w:lang w:val="en-US" w:eastAsia="zh-CN"/>
              </w:rPr>
              <w:t>茅建根</w:t>
            </w:r>
          </w:p>
        </w:tc>
        <w:tc>
          <w:tcPr>
            <w:tcW w:w="915" w:type="dxa"/>
            <w:shd w:val="clear" w:color="auto" w:fill="auto"/>
          </w:tcPr>
          <w:p w14:paraId="03DB49E6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3" w:line="229" w:lineRule="auto"/>
              <w:ind w:left="0" w:leftChars="0" w:right="0" w:rightChars="0" w:firstLine="0" w:firstLineChars="0"/>
              <w:jc w:val="center"/>
              <w:textAlignment w:val="baseline"/>
              <w:rPr>
                <w:rFonts w:ascii="宋体" w:hAnsi="宋体" w:eastAsia="宋体" w:cs="宋体"/>
                <w:snapToGrid w:val="0"/>
                <w:color w:val="000000"/>
                <w:kern w:val="0"/>
                <w:sz w:val="20"/>
                <w:szCs w:val="20"/>
                <w:lang w:val="en-US" w:eastAsia="en-US" w:bidi="ar-SA"/>
              </w:rPr>
            </w:pPr>
            <w:r>
              <w:rPr>
                <w:rFonts w:hint="eastAsia" w:asciiTheme="minorAscii" w:hAnsiTheme="minorAscii" w:eastAsiaTheme="minorEastAsia"/>
                <w:spacing w:val="0"/>
                <w:kern w:val="0"/>
                <w:sz w:val="21"/>
                <w:vertAlign w:val="baseline"/>
                <w:lang w:val="en-US" w:eastAsia="zh-CN"/>
              </w:rPr>
              <w:t>吴亚红</w:t>
            </w:r>
          </w:p>
        </w:tc>
      </w:tr>
      <w:tr w14:paraId="7286A548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56" w:hRule="atLeast"/>
          <w:jc w:val="center"/>
        </w:trPr>
        <w:tc>
          <w:tcPr>
            <w:tcW w:w="1317" w:type="dxa"/>
            <w:shd w:val="clear" w:color="auto" w:fill="auto"/>
          </w:tcPr>
          <w:p w14:paraId="1A89B022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3" w:line="267" w:lineRule="exact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宋体" w:hAnsi="宋体" w:eastAsia="宋体" w:cs="宋体"/>
                <w:snapToGrid w:val="0"/>
                <w:color w:val="000000"/>
                <w:kern w:val="0"/>
                <w:sz w:val="20"/>
                <w:szCs w:val="20"/>
                <w:lang w:val="en-US" w:eastAsia="en-US" w:bidi="ar-SA"/>
              </w:rPr>
            </w:pPr>
            <w:r>
              <w:rPr>
                <w:rFonts w:ascii="宋体" w:hAnsi="宋体" w:eastAsia="宋体" w:cs="宋体"/>
                <w:spacing w:val="3"/>
                <w:position w:val="1"/>
                <w:sz w:val="20"/>
                <w:szCs w:val="20"/>
              </w:rPr>
              <w:t>2025.1.</w:t>
            </w:r>
            <w:r>
              <w:rPr>
                <w:rFonts w:hint="eastAsia" w:ascii="宋体" w:hAnsi="宋体" w:cs="宋体"/>
                <w:spacing w:val="3"/>
                <w:position w:val="1"/>
                <w:sz w:val="20"/>
                <w:szCs w:val="20"/>
                <w:lang w:val="en-US" w:eastAsia="zh-CN"/>
              </w:rPr>
              <w:t>10</w:t>
            </w:r>
          </w:p>
        </w:tc>
        <w:tc>
          <w:tcPr>
            <w:tcW w:w="972" w:type="dxa"/>
            <w:shd w:val="clear" w:color="auto" w:fill="auto"/>
          </w:tcPr>
          <w:p w14:paraId="55823B6E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3" w:line="267" w:lineRule="exact"/>
              <w:ind w:left="0" w:leftChars="0" w:right="0" w:rightChars="0" w:firstLine="0" w:firstLineChars="0"/>
              <w:jc w:val="center"/>
              <w:textAlignment w:val="baseline"/>
              <w:rPr>
                <w:rFonts w:ascii="宋体" w:hAnsi="宋体" w:eastAsia="宋体" w:cs="宋体"/>
                <w:snapToGrid w:val="0"/>
                <w:color w:val="000000"/>
                <w:kern w:val="0"/>
                <w:sz w:val="20"/>
                <w:szCs w:val="20"/>
                <w:lang w:val="en-US" w:eastAsia="en-US" w:bidi="ar-SA"/>
              </w:rPr>
            </w:pPr>
            <w:r>
              <w:rPr>
                <w:rFonts w:ascii="宋体" w:hAnsi="宋体" w:eastAsia="宋体" w:cs="宋体"/>
                <w:spacing w:val="4"/>
                <w:position w:val="1"/>
                <w:sz w:val="20"/>
                <w:szCs w:val="20"/>
              </w:rPr>
              <w:t>V</w:t>
            </w:r>
            <w:r>
              <w:rPr>
                <w:rFonts w:hint="eastAsia" w:ascii="宋体" w:hAnsi="宋体" w:cs="宋体"/>
                <w:spacing w:val="4"/>
                <w:position w:val="1"/>
                <w:sz w:val="20"/>
                <w:szCs w:val="20"/>
                <w:lang w:val="en-US" w:eastAsia="zh-CN"/>
              </w:rPr>
              <w:t>2</w:t>
            </w:r>
            <w:r>
              <w:rPr>
                <w:rFonts w:ascii="宋体" w:hAnsi="宋体" w:eastAsia="宋体" w:cs="宋体"/>
                <w:spacing w:val="4"/>
                <w:position w:val="1"/>
                <w:sz w:val="20"/>
                <w:szCs w:val="20"/>
              </w:rPr>
              <w:t>.0</w:t>
            </w:r>
          </w:p>
        </w:tc>
        <w:tc>
          <w:tcPr>
            <w:tcW w:w="1575" w:type="dxa"/>
            <w:shd w:val="clear" w:color="auto" w:fill="auto"/>
          </w:tcPr>
          <w:p w14:paraId="168390D4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2" w:line="228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宋体" w:hAnsi="宋体" w:eastAsia="宋体" w:cs="宋体"/>
                <w:snapToGrid w:val="0"/>
                <w:color w:val="000000"/>
                <w:kern w:val="0"/>
                <w:sz w:val="20"/>
                <w:szCs w:val="20"/>
                <w:lang w:val="en-US" w:eastAsia="zh-CN" w:bidi="ar-SA"/>
              </w:rPr>
            </w:pPr>
            <w:r>
              <w:rPr>
                <w:rFonts w:hint="eastAsia" w:ascii="宋体" w:hAnsi="宋体" w:cs="宋体"/>
                <w:snapToGrid w:val="0"/>
                <w:color w:val="000000"/>
                <w:kern w:val="0"/>
                <w:sz w:val="20"/>
                <w:szCs w:val="20"/>
                <w:lang w:val="en-US" w:eastAsia="zh-CN" w:bidi="ar-SA"/>
              </w:rPr>
              <w:t>完善追责情形</w:t>
            </w:r>
          </w:p>
        </w:tc>
        <w:tc>
          <w:tcPr>
            <w:tcW w:w="1829" w:type="dxa"/>
            <w:shd w:val="clear" w:color="auto" w:fill="auto"/>
          </w:tcPr>
          <w:p w14:paraId="29B19EF9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2" w:line="228" w:lineRule="auto"/>
              <w:ind w:left="0" w:leftChars="0" w:right="0" w:rightChars="0" w:firstLine="0" w:firstLineChars="0"/>
              <w:jc w:val="center"/>
              <w:textAlignment w:val="baseline"/>
              <w:rPr>
                <w:rFonts w:ascii="宋体" w:hAnsi="宋体" w:eastAsia="宋体" w:cs="宋体"/>
                <w:snapToGrid w:val="0"/>
                <w:color w:val="000000"/>
                <w:spacing w:val="200"/>
                <w:kern w:val="0"/>
                <w:sz w:val="20"/>
                <w:szCs w:val="20"/>
                <w:lang w:val="en-US" w:eastAsia="en-US" w:bidi="ar-SA"/>
              </w:rPr>
            </w:pPr>
            <w:r>
              <w:rPr>
                <w:rFonts w:hint="eastAsia" w:ascii="宋体" w:hAnsi="宋体" w:eastAsia="宋体" w:cs="宋体"/>
                <w:spacing w:val="200"/>
                <w:kern w:val="0"/>
                <w:sz w:val="20"/>
                <w:szCs w:val="20"/>
                <w:lang w:val="en-US" w:eastAsia="zh-CN"/>
              </w:rPr>
              <w:t>吴夤</w:t>
            </w:r>
          </w:p>
        </w:tc>
        <w:tc>
          <w:tcPr>
            <w:tcW w:w="1606" w:type="dxa"/>
            <w:shd w:val="clear" w:color="auto" w:fill="auto"/>
          </w:tcPr>
          <w:p w14:paraId="5ADC249A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3" w:line="229" w:lineRule="auto"/>
              <w:ind w:left="0" w:leftChars="0" w:right="0" w:rightChars="0" w:firstLine="0" w:firstLineChars="0"/>
              <w:jc w:val="center"/>
              <w:textAlignment w:val="baseline"/>
              <w:rPr>
                <w:rFonts w:ascii="宋体" w:hAnsi="宋体" w:eastAsia="宋体" w:cs="宋体"/>
                <w:snapToGrid w:val="0"/>
                <w:color w:val="000000"/>
                <w:spacing w:val="200"/>
                <w:kern w:val="0"/>
                <w:sz w:val="20"/>
                <w:szCs w:val="20"/>
                <w:lang w:val="en-US" w:eastAsia="en-US" w:bidi="ar-SA"/>
              </w:rPr>
            </w:pPr>
            <w:r>
              <w:rPr>
                <w:rFonts w:hint="eastAsia" w:asciiTheme="minorAscii" w:hAnsiTheme="minorAscii" w:eastAsiaTheme="minorEastAsia"/>
                <w:spacing w:val="0"/>
                <w:kern w:val="0"/>
                <w:sz w:val="21"/>
                <w:vertAlign w:val="baseline"/>
                <w:lang w:val="en-US" w:eastAsia="zh-CN"/>
              </w:rPr>
              <w:t>茅建根</w:t>
            </w:r>
          </w:p>
        </w:tc>
        <w:tc>
          <w:tcPr>
            <w:tcW w:w="915" w:type="dxa"/>
            <w:shd w:val="clear" w:color="auto" w:fill="auto"/>
          </w:tcPr>
          <w:p w14:paraId="6737AF6C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3" w:line="229" w:lineRule="auto"/>
              <w:ind w:left="0" w:leftChars="0" w:right="0" w:rightChars="0" w:firstLine="0" w:firstLineChars="0"/>
              <w:jc w:val="center"/>
              <w:textAlignment w:val="baseline"/>
              <w:rPr>
                <w:rFonts w:ascii="宋体" w:hAnsi="宋体" w:eastAsia="宋体" w:cs="宋体"/>
                <w:snapToGrid w:val="0"/>
                <w:color w:val="000000"/>
                <w:kern w:val="0"/>
                <w:sz w:val="20"/>
                <w:szCs w:val="20"/>
                <w:lang w:val="en-US" w:eastAsia="en-US" w:bidi="ar-SA"/>
              </w:rPr>
            </w:pPr>
            <w:r>
              <w:rPr>
                <w:rFonts w:hint="eastAsia" w:asciiTheme="minorAscii" w:hAnsiTheme="minorAscii" w:eastAsiaTheme="minorEastAsia"/>
                <w:spacing w:val="0"/>
                <w:kern w:val="0"/>
                <w:sz w:val="21"/>
                <w:vertAlign w:val="baseline"/>
                <w:lang w:val="en-US" w:eastAsia="zh-CN"/>
              </w:rPr>
              <w:t>吴亚红</w:t>
            </w:r>
          </w:p>
        </w:tc>
      </w:tr>
      <w:tr w14:paraId="7DF83F34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56" w:hRule="atLeast"/>
          <w:jc w:val="center"/>
        </w:trPr>
        <w:tc>
          <w:tcPr>
            <w:tcW w:w="1317" w:type="dxa"/>
          </w:tcPr>
          <w:p w14:paraId="79F6D7B2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  <w:tc>
          <w:tcPr>
            <w:tcW w:w="972" w:type="dxa"/>
          </w:tcPr>
          <w:p w14:paraId="285F387C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  <w:tc>
          <w:tcPr>
            <w:tcW w:w="1575" w:type="dxa"/>
          </w:tcPr>
          <w:p w14:paraId="274D5AC3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  <w:tc>
          <w:tcPr>
            <w:tcW w:w="1829" w:type="dxa"/>
          </w:tcPr>
          <w:p w14:paraId="144233C1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  <w:tc>
          <w:tcPr>
            <w:tcW w:w="1606" w:type="dxa"/>
          </w:tcPr>
          <w:p w14:paraId="3C0BE44A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  <w:tc>
          <w:tcPr>
            <w:tcW w:w="915" w:type="dxa"/>
          </w:tcPr>
          <w:p w14:paraId="2B50AFC0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</w:tr>
      <w:tr w14:paraId="400546D3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57" w:hRule="atLeast"/>
          <w:jc w:val="center"/>
        </w:trPr>
        <w:tc>
          <w:tcPr>
            <w:tcW w:w="1317" w:type="dxa"/>
          </w:tcPr>
          <w:p w14:paraId="13C4212B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  <w:tc>
          <w:tcPr>
            <w:tcW w:w="972" w:type="dxa"/>
          </w:tcPr>
          <w:p w14:paraId="0777E3BD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  <w:tc>
          <w:tcPr>
            <w:tcW w:w="1575" w:type="dxa"/>
          </w:tcPr>
          <w:p w14:paraId="3AC81CC9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  <w:tc>
          <w:tcPr>
            <w:tcW w:w="1829" w:type="dxa"/>
          </w:tcPr>
          <w:p w14:paraId="61A76A2D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  <w:tc>
          <w:tcPr>
            <w:tcW w:w="1606" w:type="dxa"/>
          </w:tcPr>
          <w:p w14:paraId="574AE35C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  <w:tc>
          <w:tcPr>
            <w:tcW w:w="915" w:type="dxa"/>
          </w:tcPr>
          <w:p w14:paraId="41F98660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</w:tr>
    </w:tbl>
    <w:p w14:paraId="00312B7B">
      <w:pPr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</w:pPr>
      <w:r>
        <w:br w:type="page"/>
      </w:r>
    </w:p>
    <w:sdt>
      <w:sdtPr>
        <w:rPr>
          <w:rFonts w:ascii="宋体" w:hAnsi="宋体" w:eastAsia="宋体" w:cs="Arial"/>
          <w:snapToGrid w:val="0"/>
          <w:color w:val="000000"/>
          <w:kern w:val="0"/>
          <w:sz w:val="21"/>
          <w:szCs w:val="21"/>
          <w:lang w:val="en-US" w:eastAsia="en-US" w:bidi="ar-SA"/>
        </w:rPr>
        <w:id w:val="147468666"/>
        <w:docPartObj>
          <w:docPartGallery w:val="Table of Contents"/>
          <w:docPartUnique/>
        </w:docPartObj>
      </w:sdtPr>
      <w:sdtEndPr>
        <w:rPr>
          <w:rFonts w:hint="eastAsia" w:ascii="宋体" w:hAnsi="宋体" w:eastAsia="宋体" w:cs="宋体"/>
          <w:snapToGrid w:val="0"/>
          <w:color w:val="000000"/>
          <w:kern w:val="0"/>
          <w:sz w:val="24"/>
          <w:szCs w:val="24"/>
          <w:lang w:val="en-US" w:eastAsia="en-US" w:bidi="ar-SA"/>
        </w:rPr>
      </w:sdtEndPr>
      <w:sdtContent>
        <w:p w14:paraId="175F3F66">
          <w:pPr>
            <w:keepNext w:val="0"/>
            <w:keepLines w:val="0"/>
            <w:pageBreakBefore w:val="0"/>
            <w:widowControl w:val="0"/>
            <w:kinsoku w:val="0"/>
            <w:wordWrap/>
            <w:overflowPunct/>
            <w:autoSpaceDE w:val="0"/>
            <w:autoSpaceDN w:val="0"/>
            <w:bidi w:val="0"/>
            <w:adjustRightInd w:val="0"/>
            <w:snapToGrid w:val="0"/>
            <w:spacing w:before="0" w:beforeLines="0" w:after="0" w:afterLines="0" w:line="240" w:lineRule="auto"/>
            <w:ind w:left="0" w:leftChars="0" w:right="0" w:rightChars="0" w:firstLine="0" w:firstLineChars="0"/>
            <w:jc w:val="center"/>
            <w:textAlignment w:val="baseline"/>
            <w:rPr>
              <w:rFonts w:hint="eastAsia" w:ascii="宋体" w:hAnsi="宋体" w:eastAsia="宋体" w:cs="宋体"/>
              <w:sz w:val="24"/>
              <w:szCs w:val="24"/>
            </w:rPr>
          </w:pPr>
          <w:r>
            <w:rPr>
              <w:rFonts w:hint="eastAsia" w:ascii="宋体" w:hAnsi="宋体" w:eastAsia="宋体" w:cs="宋体"/>
              <w:sz w:val="24"/>
              <w:szCs w:val="24"/>
            </w:rPr>
            <w:t>目录</w:t>
          </w:r>
        </w:p>
        <w:p w14:paraId="590D0ADD">
          <w:pPr>
            <w:pStyle w:val="16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 w:val="24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 w:val="24"/>
              <w:szCs w:val="24"/>
            </w:rPr>
            <w:instrText xml:space="preserve">TOC \o "1-3" \h \u </w:instrText>
          </w:r>
          <w:r>
            <w:rPr>
              <w:rFonts w:hint="eastAsia" w:ascii="宋体" w:hAnsi="宋体" w:eastAsia="宋体" w:cs="宋体"/>
              <w:sz w:val="24"/>
              <w:szCs w:val="24"/>
            </w:rPr>
            <w:fldChar w:fldCharType="separate"/>
          </w: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_Toc27873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eastAsia"/>
              <w:lang w:val="en-US" w:eastAsia="zh-CN"/>
            </w:rPr>
            <w:t>桐乡华数广电网络有限公司</w:t>
          </w:r>
          <w:r>
            <w:tab/>
          </w:r>
          <w:r>
            <w:fldChar w:fldCharType="begin"/>
          </w:r>
          <w:r>
            <w:instrText xml:space="preserve"> PAGEREF _Toc27873 \h </w:instrText>
          </w:r>
          <w:r>
            <w:fldChar w:fldCharType="separate"/>
          </w:r>
          <w:r>
            <w:t>1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3D02D76E">
          <w:pPr>
            <w:pStyle w:val="16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_Toc11118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eastAsia"/>
              <w:lang w:val="en-US" w:eastAsia="zh-CN"/>
            </w:rPr>
            <w:t>人员工作交接管理制度</w:t>
          </w:r>
          <w:r>
            <w:tab/>
          </w:r>
          <w:r>
            <w:fldChar w:fldCharType="begin"/>
          </w:r>
          <w:r>
            <w:instrText xml:space="preserve"> PAGEREF _Toc11118 \h </w:instrText>
          </w:r>
          <w:r>
            <w:fldChar w:fldCharType="separate"/>
          </w:r>
          <w:r>
            <w:t>1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3E5A2BF0">
          <w:pPr>
            <w:pStyle w:val="16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_Toc28333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1. 总则</w:t>
          </w:r>
          <w:r>
            <w:tab/>
          </w:r>
          <w:r>
            <w:fldChar w:fldCharType="begin"/>
          </w:r>
          <w:r>
            <w:instrText xml:space="preserve"> PAGEREF _Toc28333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3CD7CE27">
          <w:pPr>
            <w:pStyle w:val="17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_Toc29165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1.1. 目的</w:t>
          </w:r>
          <w:r>
            <w:tab/>
          </w:r>
          <w:r>
            <w:fldChar w:fldCharType="begin"/>
          </w:r>
          <w:r>
            <w:instrText xml:space="preserve"> PAGEREF _Toc29165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4E47984E">
          <w:pPr>
            <w:pStyle w:val="17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_Toc25641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1.2. 适用范围</w:t>
          </w:r>
          <w:r>
            <w:tab/>
          </w:r>
          <w:r>
            <w:fldChar w:fldCharType="begin"/>
          </w:r>
          <w:r>
            <w:instrText xml:space="preserve"> PAGEREF _Toc25641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38CA0839">
          <w:pPr>
            <w:pStyle w:val="17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_Toc12463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1.3. 责任主体</w:t>
          </w:r>
          <w:r>
            <w:tab/>
          </w:r>
          <w:r>
            <w:fldChar w:fldCharType="begin"/>
          </w:r>
          <w:r>
            <w:instrText xml:space="preserve"> PAGEREF _Toc12463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3E66D016">
          <w:pPr>
            <w:pStyle w:val="16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_Toc23513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2. 工作交接内容</w:t>
          </w:r>
          <w:r>
            <w:tab/>
          </w:r>
          <w:r>
            <w:fldChar w:fldCharType="begin"/>
          </w:r>
          <w:r>
            <w:instrText xml:space="preserve"> PAGEREF _Toc23513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49905138">
          <w:pPr>
            <w:pStyle w:val="17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_Toc30935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2.1. 业务工作交接</w:t>
          </w:r>
          <w:r>
            <w:tab/>
          </w:r>
          <w:r>
            <w:fldChar w:fldCharType="begin"/>
          </w:r>
          <w:r>
            <w:instrText xml:space="preserve"> PAGEREF _Toc30935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445DE34F">
          <w:pPr>
            <w:pStyle w:val="17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_Toc5212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2.2. 公司物品交接</w:t>
          </w:r>
          <w:r>
            <w:tab/>
          </w:r>
          <w:r>
            <w:fldChar w:fldCharType="begin"/>
          </w:r>
          <w:r>
            <w:instrText xml:space="preserve"> PAGEREF _Toc5212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6E0B3992">
          <w:pPr>
            <w:pStyle w:val="16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_Toc16509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3. 工作交接程序</w:t>
          </w:r>
          <w:r>
            <w:tab/>
          </w:r>
          <w:r>
            <w:fldChar w:fldCharType="begin"/>
          </w:r>
          <w:r>
            <w:instrText xml:space="preserve"> PAGEREF _Toc16509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34FFB078">
          <w:pPr>
            <w:pStyle w:val="17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_Toc32122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3.1. 交接启动</w:t>
          </w:r>
          <w:r>
            <w:tab/>
          </w:r>
          <w:r>
            <w:fldChar w:fldCharType="begin"/>
          </w:r>
          <w:r>
            <w:instrText xml:space="preserve"> PAGEREF _Toc32122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6B182D3A">
          <w:pPr>
            <w:pStyle w:val="17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_Toc2585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3.2. 准备工作</w:t>
          </w:r>
          <w:r>
            <w:tab/>
          </w:r>
          <w:r>
            <w:fldChar w:fldCharType="begin"/>
          </w:r>
          <w:r>
            <w:instrText xml:space="preserve"> PAGEREF _Toc2585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20BBB0CF">
          <w:pPr>
            <w:pStyle w:val="17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_Toc17001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3.3. 审核与调整</w:t>
          </w:r>
          <w:r>
            <w:tab/>
          </w:r>
          <w:r>
            <w:fldChar w:fldCharType="begin"/>
          </w:r>
          <w:r>
            <w:instrText xml:space="preserve"> PAGEREF _Toc17001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7360A3AF">
          <w:pPr>
            <w:pStyle w:val="17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_Toc17434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3.4. 现场交接与确认</w:t>
          </w:r>
          <w:r>
            <w:tab/>
          </w:r>
          <w:r>
            <w:fldChar w:fldCharType="begin"/>
          </w:r>
          <w:r>
            <w:instrText xml:space="preserve"> PAGEREF _Toc17434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32EBD2E9">
          <w:pPr>
            <w:pStyle w:val="17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_Toc12179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3.5. 系统权限与IT资产交接</w:t>
          </w:r>
          <w:r>
            <w:tab/>
          </w:r>
          <w:r>
            <w:fldChar w:fldCharType="begin"/>
          </w:r>
          <w:r>
            <w:instrText xml:space="preserve"> PAGEREF _Toc12179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083F80E9">
          <w:pPr>
            <w:pStyle w:val="17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_Toc2613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3.6. 存档备案</w:t>
          </w:r>
          <w:r>
            <w:tab/>
          </w:r>
          <w:r>
            <w:fldChar w:fldCharType="begin"/>
          </w:r>
          <w:r>
            <w:instrText xml:space="preserve"> PAGEREF _Toc2613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5325FD37">
          <w:pPr>
            <w:pStyle w:val="16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_Toc5916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4. 工作交接要求</w:t>
          </w:r>
          <w:r>
            <w:tab/>
          </w:r>
          <w:r>
            <w:fldChar w:fldCharType="begin"/>
          </w:r>
          <w:r>
            <w:instrText xml:space="preserve"> PAGEREF _Toc5916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149DB611">
          <w:pPr>
            <w:pStyle w:val="17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_Toc32308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4.1. 接收人指定</w:t>
          </w:r>
          <w:r>
            <w:tab/>
          </w:r>
          <w:r>
            <w:fldChar w:fldCharType="begin"/>
          </w:r>
          <w:r>
            <w:instrText xml:space="preserve"> PAGEREF _Toc32308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216C1FD7">
          <w:pPr>
            <w:pStyle w:val="17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_Toc13043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4.2. 交接时限</w:t>
          </w:r>
          <w:r>
            <w:tab/>
          </w:r>
          <w:r>
            <w:fldChar w:fldCharType="begin"/>
          </w:r>
          <w:r>
            <w:instrText xml:space="preserve"> PAGEREF _Toc13043 \h </w:instrText>
          </w:r>
          <w:r>
            <w:fldChar w:fldCharType="separate"/>
          </w:r>
          <w:r>
            <w:t>7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18C173C5">
          <w:pPr>
            <w:pStyle w:val="17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_Toc23637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4.3. 特殊情况处理</w:t>
          </w:r>
          <w:r>
            <w:tab/>
          </w:r>
          <w:r>
            <w:fldChar w:fldCharType="begin"/>
          </w:r>
          <w:r>
            <w:instrText xml:space="preserve"> PAGEREF _Toc23637 \h </w:instrText>
          </w:r>
          <w:r>
            <w:fldChar w:fldCharType="separate"/>
          </w:r>
          <w:r>
            <w:t>7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2985DECF">
          <w:pPr>
            <w:pStyle w:val="17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_Toc14402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4.4. 离职关联</w:t>
          </w:r>
          <w:r>
            <w:tab/>
          </w:r>
          <w:r>
            <w:fldChar w:fldCharType="begin"/>
          </w:r>
          <w:r>
            <w:instrText xml:space="preserve"> PAGEREF _Toc14402 \h </w:instrText>
          </w:r>
          <w:r>
            <w:fldChar w:fldCharType="separate"/>
          </w:r>
          <w:r>
            <w:t>7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7D4924D9">
          <w:pPr>
            <w:pStyle w:val="16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_Toc20337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5. 监督与考核</w:t>
          </w:r>
          <w:r>
            <w:tab/>
          </w:r>
          <w:r>
            <w:fldChar w:fldCharType="begin"/>
          </w:r>
          <w:r>
            <w:instrText xml:space="preserve"> PAGEREF _Toc20337 \h </w:instrText>
          </w:r>
          <w:r>
            <w:fldChar w:fldCharType="separate"/>
          </w:r>
          <w:r>
            <w:t>7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2196B4A0">
          <w:pPr>
            <w:pStyle w:val="17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_Toc12143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5.1. 部门责任制</w:t>
          </w:r>
          <w:r>
            <w:tab/>
          </w:r>
          <w:r>
            <w:fldChar w:fldCharType="begin"/>
          </w:r>
          <w:r>
            <w:instrText xml:space="preserve"> PAGEREF _Toc12143 \h </w:instrText>
          </w:r>
          <w:r>
            <w:fldChar w:fldCharType="separate"/>
          </w:r>
          <w:r>
            <w:t>7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7C3EA6E1">
          <w:pPr>
            <w:pStyle w:val="17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_Toc27523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5.2. 追究情形</w:t>
          </w:r>
          <w:r>
            <w:tab/>
          </w:r>
          <w:r>
            <w:fldChar w:fldCharType="begin"/>
          </w:r>
          <w:r>
            <w:instrText xml:space="preserve"> PAGEREF _Toc27523 \h </w:instrText>
          </w:r>
          <w:r>
            <w:fldChar w:fldCharType="separate"/>
          </w:r>
          <w:r>
            <w:t>7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453A836F">
          <w:pPr>
            <w:pStyle w:val="16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_Toc32013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6. 附则</w:t>
          </w:r>
          <w:r>
            <w:tab/>
          </w:r>
          <w:r>
            <w:fldChar w:fldCharType="begin"/>
          </w:r>
          <w:r>
            <w:instrText xml:space="preserve"> PAGEREF _Toc32013 \h </w:instrText>
          </w:r>
          <w:r>
            <w:fldChar w:fldCharType="separate"/>
          </w:r>
          <w:r>
            <w:t>8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58237EEB">
          <w:pPr>
            <w:keepNext w:val="0"/>
            <w:keepLines w:val="0"/>
            <w:pageBreakBefore w:val="0"/>
            <w:widowControl w:val="0"/>
            <w:kinsoku w:val="0"/>
            <w:wordWrap/>
            <w:overflowPunct/>
            <w:autoSpaceDE w:val="0"/>
            <w:autoSpaceDN w:val="0"/>
            <w:bidi w:val="0"/>
            <w:adjustRightInd w:val="0"/>
            <w:snapToGrid w:val="0"/>
            <w:textAlignment w:val="baseline"/>
            <w:rPr>
              <w:rFonts w:hint="eastAsia" w:ascii="宋体" w:hAnsi="宋体" w:eastAsia="宋体" w:cs="宋体"/>
              <w:snapToGrid w:val="0"/>
              <w:color w:val="000000"/>
              <w:kern w:val="0"/>
              <w:sz w:val="24"/>
              <w:szCs w:val="24"/>
              <w:lang w:val="en-US" w:eastAsia="en-US" w:bidi="ar-SA"/>
            </w:rPr>
          </w:pP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</w:sdtContent>
    </w:sdt>
    <w:p w14:paraId="5D630907">
      <w:pPr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  <w:rPr>
          <w:rFonts w:ascii="Arial" w:hAnsi="Arial" w:eastAsia="Arial" w:cs="Arial"/>
          <w:snapToGrid w:val="0"/>
          <w:color w:val="000000"/>
          <w:kern w:val="0"/>
          <w:sz w:val="21"/>
          <w:szCs w:val="21"/>
          <w:lang w:val="en-US" w:eastAsia="en-US" w:bidi="ar-SA"/>
        </w:rPr>
      </w:pPr>
      <w:r>
        <w:rPr>
          <w:rFonts w:ascii="Arial" w:hAnsi="Arial" w:eastAsia="Arial" w:cs="Arial"/>
          <w:snapToGrid w:val="0"/>
          <w:color w:val="000000"/>
          <w:kern w:val="0"/>
          <w:sz w:val="21"/>
          <w:szCs w:val="21"/>
          <w:lang w:val="en-US" w:eastAsia="en-US" w:bidi="ar-SA"/>
        </w:rPr>
        <w:br w:type="page"/>
      </w:r>
    </w:p>
    <w:p w14:paraId="2BC945A8">
      <w:pPr>
        <w:pStyle w:val="28"/>
        <w:bidi w:val="0"/>
        <w:rPr>
          <w:rFonts w:hint="default"/>
          <w:lang w:val="en-US" w:eastAsia="zh-CN"/>
        </w:rPr>
      </w:pPr>
      <w:bookmarkStart w:id="2" w:name="_Toc28333"/>
      <w:r>
        <w:rPr>
          <w:rFonts w:hint="default"/>
          <w:lang w:val="en-US" w:eastAsia="zh-CN"/>
        </w:rPr>
        <w:t>总则</w:t>
      </w:r>
      <w:bookmarkEnd w:id="2"/>
    </w:p>
    <w:p w14:paraId="2BEA2971">
      <w:pPr>
        <w:pStyle w:val="30"/>
        <w:bidi w:val="0"/>
        <w:rPr>
          <w:rFonts w:hint="default"/>
          <w:lang w:val="en-US" w:eastAsia="zh-CN"/>
        </w:rPr>
      </w:pPr>
      <w:bookmarkStart w:id="3" w:name="_Toc29165"/>
      <w:r>
        <w:rPr>
          <w:rFonts w:hint="default"/>
          <w:lang w:val="en-US" w:eastAsia="zh-CN"/>
        </w:rPr>
        <w:t>目的</w:t>
      </w:r>
      <w:bookmarkEnd w:id="3"/>
    </w:p>
    <w:p w14:paraId="701AA7CC">
      <w:pPr>
        <w:pStyle w:val="29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为规范公司内部工作交接流程，确保员工在岗位变动、长期请假或离职时，各项工作、资料、权限及资产得以清晰、完整、顺利地移交，保障公司软件运维服务业务的连续性和稳定性，防范因交接不清导致的运营风险与知识资产流失，特制定本办法。</w:t>
      </w:r>
    </w:p>
    <w:p w14:paraId="3A204975">
      <w:pPr>
        <w:pStyle w:val="30"/>
        <w:bidi w:val="0"/>
        <w:rPr>
          <w:rFonts w:hint="default"/>
          <w:lang w:val="en-US" w:eastAsia="zh-CN"/>
        </w:rPr>
      </w:pPr>
      <w:bookmarkStart w:id="4" w:name="_Toc25641"/>
      <w:r>
        <w:rPr>
          <w:rFonts w:hint="default"/>
          <w:lang w:val="en-US" w:eastAsia="zh-CN"/>
        </w:rPr>
        <w:t>适用范围</w:t>
      </w:r>
      <w:bookmarkEnd w:id="4"/>
    </w:p>
    <w:p w14:paraId="2894FB9A">
      <w:pPr>
        <w:pStyle w:val="29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本办法适用于公司全体员工因下列情形发生的工作交接：</w:t>
      </w:r>
    </w:p>
    <w:p w14:paraId="452E6DF7">
      <w:pPr>
        <w:pStyle w:val="29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岗位调动：在公司内部发生岗位或部门变动。</w:t>
      </w:r>
    </w:p>
    <w:p w14:paraId="2C8C5521">
      <w:pPr>
        <w:pStyle w:val="29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长期请假：连续请假时间预计超过5个工作日（含）。</w:t>
      </w:r>
    </w:p>
    <w:p w14:paraId="74648D99">
      <w:pPr>
        <w:pStyle w:val="29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离职：包括辞职、辞退、合同终止等所有劳动关系解除的情况。</w:t>
      </w:r>
    </w:p>
    <w:p w14:paraId="0CA608DB">
      <w:pPr>
        <w:pStyle w:val="29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其他：经公司认定的其他需要办理工作交接的情形。</w:t>
      </w:r>
    </w:p>
    <w:p w14:paraId="2A710A63">
      <w:pPr>
        <w:pStyle w:val="30"/>
        <w:bidi w:val="0"/>
        <w:rPr>
          <w:rFonts w:hint="default"/>
          <w:lang w:val="en-US" w:eastAsia="zh-CN"/>
        </w:rPr>
      </w:pPr>
      <w:bookmarkStart w:id="5" w:name="_Toc12463"/>
      <w:r>
        <w:rPr>
          <w:rFonts w:hint="default"/>
          <w:lang w:val="en-US" w:eastAsia="zh-CN"/>
        </w:rPr>
        <w:t>责任主体</w:t>
      </w:r>
      <w:bookmarkEnd w:id="5"/>
    </w:p>
    <w:p w14:paraId="339CDAB5">
      <w:pPr>
        <w:pStyle w:val="29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工作交接的主要责任主体包括：</w:t>
      </w:r>
    </w:p>
    <w:p w14:paraId="2A9E5D89">
      <w:pPr>
        <w:pStyle w:val="29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移交人：即将离岗或离任的员工，负责梳理并交付所承担的工作与物品。</w:t>
      </w:r>
    </w:p>
    <w:p w14:paraId="34C8E597">
      <w:pPr>
        <w:pStyle w:val="29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接收人：接替工作的员工或部门指定的临时负责人，负责接收并确认交接内容。</w:t>
      </w:r>
    </w:p>
    <w:p w14:paraId="76AA7126">
      <w:pPr>
        <w:pStyle w:val="29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监督人：移交人的直接上级（部门负责人或指定经理），负责组织、监督并审核整个交接过程。</w:t>
      </w:r>
    </w:p>
    <w:p w14:paraId="1EEAED9F">
      <w:pPr>
        <w:pStyle w:val="28"/>
        <w:bidi w:val="0"/>
        <w:rPr>
          <w:rFonts w:hint="default"/>
          <w:lang w:val="en-US" w:eastAsia="zh-CN"/>
        </w:rPr>
      </w:pPr>
      <w:bookmarkStart w:id="6" w:name="_Toc23513"/>
      <w:r>
        <w:rPr>
          <w:rFonts w:hint="default"/>
          <w:lang w:val="en-US" w:eastAsia="zh-CN"/>
        </w:rPr>
        <w:t>工作交接内容</w:t>
      </w:r>
      <w:bookmarkEnd w:id="6"/>
    </w:p>
    <w:p w14:paraId="13F1FC1E">
      <w:pPr>
        <w:pStyle w:val="30"/>
        <w:bidi w:val="0"/>
        <w:rPr>
          <w:rFonts w:hint="default"/>
          <w:lang w:val="en-US" w:eastAsia="zh-CN"/>
        </w:rPr>
      </w:pPr>
      <w:bookmarkStart w:id="7" w:name="_Toc30935"/>
      <w:r>
        <w:rPr>
          <w:rFonts w:hint="default"/>
          <w:lang w:val="en-US" w:eastAsia="zh-CN"/>
        </w:rPr>
        <w:t>业务工作交接</w:t>
      </w:r>
      <w:bookmarkEnd w:id="7"/>
    </w:p>
    <w:p w14:paraId="7C7006EE">
      <w:pPr>
        <w:pStyle w:val="29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岗位职责与工作任务：明确本岗位的核心职责、当前负责的运维项目、服务客户、日常任务及进度状态。</w:t>
      </w:r>
    </w:p>
    <w:p w14:paraId="739352AE">
      <w:pPr>
        <w:pStyle w:val="29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文件与资料：</w:t>
      </w:r>
    </w:p>
    <w:p w14:paraId="774AF970">
      <w:pPr>
        <w:pStyle w:val="29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纸质/电子文档：技术方案、运维手册、巡检报告、故障记录、客户资料、合同关键信息、项目计划与总结等。</w:t>
      </w:r>
    </w:p>
    <w:p w14:paraId="474145A9">
      <w:pPr>
        <w:pStyle w:val="29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知识库条目：个人创建或维护的运维知识库条目、技术笔记、解决方案案例。</w:t>
      </w:r>
    </w:p>
    <w:p w14:paraId="64578189">
      <w:pPr>
        <w:pStyle w:val="29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待办事项与工作进展：正在进行中但未完成的任务、已承诺但未兑现的事项、待审批的流程、下一步工作计划及潜在风险。</w:t>
      </w:r>
    </w:p>
    <w:p w14:paraId="7B5A67E0">
      <w:pPr>
        <w:pStyle w:val="29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系统权限与账号：所有工作相关的系统账号、密码、操作权限清单（如运维监控平台、客户系统、内部管理平台、云服务器控制台等）。</w:t>
      </w:r>
    </w:p>
    <w:p w14:paraId="39904CDF">
      <w:pPr>
        <w:pStyle w:val="29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外部联系与客户关系：负责对接的客户接口人、供应商、合作伙伴等关键联系人的信息、沟通历史及当前关系状态。</w:t>
      </w:r>
    </w:p>
    <w:p w14:paraId="1B2204FC">
      <w:pPr>
        <w:pStyle w:val="30"/>
        <w:bidi w:val="0"/>
        <w:rPr>
          <w:rFonts w:hint="default"/>
          <w:lang w:val="en-US" w:eastAsia="zh-CN"/>
        </w:rPr>
      </w:pPr>
      <w:bookmarkStart w:id="8" w:name="_Toc5212"/>
      <w:r>
        <w:rPr>
          <w:rFonts w:hint="default"/>
          <w:lang w:val="en-US" w:eastAsia="zh-CN"/>
        </w:rPr>
        <w:t>公司物品交接</w:t>
      </w:r>
      <w:bookmarkEnd w:id="8"/>
    </w:p>
    <w:p w14:paraId="53BC7A98">
      <w:pPr>
        <w:pStyle w:val="29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办公用品与资产：公司配发的笔记本电脑、移动设备、测试机、钥匙、门禁卡、办公文具等。</w:t>
      </w:r>
    </w:p>
    <w:p w14:paraId="70680CAA">
      <w:pPr>
        <w:pStyle w:val="29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财务相关物品：备用金、未报销的票据、公司信用卡等。</w:t>
      </w:r>
    </w:p>
    <w:p w14:paraId="143CE677">
      <w:pPr>
        <w:pStyle w:val="29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证件与印章：因工作需要持有的公司证件、复印件或印章（如有）。</w:t>
      </w:r>
    </w:p>
    <w:p w14:paraId="10E96B7A">
      <w:pPr>
        <w:pStyle w:val="28"/>
        <w:bidi w:val="0"/>
        <w:rPr>
          <w:rFonts w:hint="default"/>
          <w:lang w:val="en-US" w:eastAsia="zh-CN"/>
        </w:rPr>
      </w:pPr>
      <w:bookmarkStart w:id="9" w:name="_Toc16509"/>
      <w:r>
        <w:rPr>
          <w:rFonts w:hint="default"/>
          <w:lang w:val="en-US" w:eastAsia="zh-CN"/>
        </w:rPr>
        <w:t>工作交接程序</w:t>
      </w:r>
      <w:bookmarkEnd w:id="9"/>
    </w:p>
    <w:p w14:paraId="7E7DE2A4">
      <w:pPr>
        <w:pStyle w:val="30"/>
        <w:bidi w:val="0"/>
        <w:rPr>
          <w:rFonts w:hint="default"/>
          <w:lang w:val="en-US" w:eastAsia="zh-CN"/>
        </w:rPr>
      </w:pPr>
      <w:bookmarkStart w:id="10" w:name="_Toc32122"/>
      <w:r>
        <w:rPr>
          <w:rFonts w:hint="default"/>
          <w:lang w:val="en-US" w:eastAsia="zh-CN"/>
        </w:rPr>
        <w:t>交接启动</w:t>
      </w:r>
      <w:bookmarkEnd w:id="10"/>
    </w:p>
    <w:p w14:paraId="38674B7D">
      <w:pPr>
        <w:pStyle w:val="29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当出现需交接的情形时，由移交人的直接上级（监督人） 正式发起并通知移交人、接收人及人力资源部，明确交接截止日期。</w:t>
      </w:r>
    </w:p>
    <w:p w14:paraId="1C43962B">
      <w:pPr>
        <w:pStyle w:val="30"/>
        <w:bidi w:val="0"/>
        <w:rPr>
          <w:rFonts w:hint="default"/>
          <w:lang w:val="en-US" w:eastAsia="zh-CN"/>
        </w:rPr>
      </w:pPr>
      <w:bookmarkStart w:id="11" w:name="_Toc2585"/>
      <w:r>
        <w:rPr>
          <w:rFonts w:hint="default"/>
          <w:lang w:val="en-US" w:eastAsia="zh-CN"/>
        </w:rPr>
        <w:t>准备工作</w:t>
      </w:r>
      <w:bookmarkEnd w:id="11"/>
    </w:p>
    <w:p w14:paraId="04BD772D">
      <w:pPr>
        <w:pStyle w:val="29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移交人须系统梳理本办法第2条所列的全部交接内容。</w:t>
      </w:r>
    </w:p>
    <w:p w14:paraId="0FE6A67B">
      <w:pPr>
        <w:pStyle w:val="29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移交人填写《工作交接清单》（附件1），详细列明各项交接事项的现状、位置、说明及注意事项。</w:t>
      </w:r>
    </w:p>
    <w:p w14:paraId="2CABAECC">
      <w:pPr>
        <w:pStyle w:val="29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移交人同时填写《工作交接确认单》（附件2），列明待签字确认的项目。</w:t>
      </w:r>
    </w:p>
    <w:p w14:paraId="55062C2A">
      <w:pPr>
        <w:pStyle w:val="30"/>
        <w:bidi w:val="0"/>
        <w:rPr>
          <w:rFonts w:hint="default"/>
          <w:lang w:val="en-US" w:eastAsia="zh-CN"/>
        </w:rPr>
      </w:pPr>
      <w:bookmarkStart w:id="12" w:name="_Toc17001"/>
      <w:r>
        <w:rPr>
          <w:rFonts w:hint="default"/>
          <w:lang w:val="en-US" w:eastAsia="zh-CN"/>
        </w:rPr>
        <w:t>审核与调整</w:t>
      </w:r>
      <w:bookmarkEnd w:id="12"/>
    </w:p>
    <w:p w14:paraId="227EE409">
      <w:pPr>
        <w:pStyle w:val="29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监督人对移交人填写的《工作交接清单》和《工作交接确认单》进行审核，确保内容完整、准确，必要时予以补充或调整。</w:t>
      </w:r>
    </w:p>
    <w:p w14:paraId="64E7A883">
      <w:pPr>
        <w:pStyle w:val="30"/>
        <w:bidi w:val="0"/>
        <w:rPr>
          <w:rFonts w:hint="default"/>
          <w:lang w:val="en-US" w:eastAsia="zh-CN"/>
        </w:rPr>
      </w:pPr>
      <w:bookmarkStart w:id="13" w:name="_Toc17434"/>
      <w:r>
        <w:rPr>
          <w:rFonts w:hint="default"/>
          <w:lang w:val="en-US" w:eastAsia="zh-CN"/>
        </w:rPr>
        <w:t>现场交接与确认</w:t>
      </w:r>
      <w:bookmarkEnd w:id="13"/>
    </w:p>
    <w:p w14:paraId="7D0BECB0">
      <w:pPr>
        <w:pStyle w:val="29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在监督人的主持下，移交人与接收人进行现场交接。</w:t>
      </w:r>
    </w:p>
    <w:p w14:paraId="230DC48B">
      <w:pPr>
        <w:pStyle w:val="29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移交人依据清单逐项说明，接收人进行清点、核对与测试（如权限登录验证）。</w:t>
      </w:r>
    </w:p>
    <w:p w14:paraId="15BBEB96">
      <w:pPr>
        <w:pStyle w:val="29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对于不清楚或存疑的事项，移交人必须给予清晰解释，监督人负责协调直至双方认可。</w:t>
      </w:r>
    </w:p>
    <w:p w14:paraId="651C1375">
      <w:pPr>
        <w:pStyle w:val="29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交接完成后，移交人、接收人、监督人三方在《工作交接确认单》上签字，视为实物与信息移交完成。</w:t>
      </w:r>
    </w:p>
    <w:p w14:paraId="3FF89F79">
      <w:pPr>
        <w:pStyle w:val="30"/>
        <w:bidi w:val="0"/>
        <w:rPr>
          <w:rFonts w:hint="default"/>
          <w:lang w:val="en-US" w:eastAsia="zh-CN"/>
        </w:rPr>
      </w:pPr>
      <w:bookmarkStart w:id="14" w:name="_Toc12179"/>
      <w:r>
        <w:rPr>
          <w:rFonts w:hint="default"/>
          <w:lang w:val="en-US" w:eastAsia="zh-CN"/>
        </w:rPr>
        <w:t>系统权限与IT资产交接</w:t>
      </w:r>
      <w:bookmarkEnd w:id="14"/>
    </w:p>
    <w:p w14:paraId="6F1705A3">
      <w:pPr>
        <w:pStyle w:val="29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涉及通用系统账号注销及标准IT资产（如公司电脑）回收的，按《人员入离职管理制度》规定，由接收人或监督人监督移交人完成清理后，提请研发部/运维部（IT支持） 执行权限回收与资产回收流程，并在相关表单上会签。</w:t>
      </w:r>
    </w:p>
    <w:p w14:paraId="14419E07">
      <w:pPr>
        <w:pStyle w:val="30"/>
        <w:bidi w:val="0"/>
        <w:rPr>
          <w:rFonts w:hint="default"/>
          <w:lang w:val="en-US" w:eastAsia="zh-CN"/>
        </w:rPr>
      </w:pPr>
      <w:bookmarkStart w:id="15" w:name="_Toc2613"/>
      <w:r>
        <w:rPr>
          <w:rFonts w:hint="default"/>
          <w:lang w:val="en-US" w:eastAsia="zh-CN"/>
        </w:rPr>
        <w:t>存档备案</w:t>
      </w:r>
      <w:bookmarkEnd w:id="15"/>
    </w:p>
    <w:p w14:paraId="799D6BBF">
      <w:pPr>
        <w:pStyle w:val="29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经三方签字确认的《工作交接确认单》原件，作为关键记录，由人力资源部归入员工人事档案，长期保存。《工作交接清单》可根据需要由部门备份。</w:t>
      </w:r>
    </w:p>
    <w:p w14:paraId="3D88F9B9">
      <w:pPr>
        <w:pStyle w:val="28"/>
        <w:bidi w:val="0"/>
        <w:rPr>
          <w:rFonts w:hint="default"/>
          <w:lang w:val="en-US" w:eastAsia="zh-CN"/>
        </w:rPr>
      </w:pPr>
      <w:bookmarkStart w:id="16" w:name="_Toc5916"/>
      <w:r>
        <w:rPr>
          <w:rFonts w:hint="default"/>
          <w:lang w:val="en-US" w:eastAsia="zh-CN"/>
        </w:rPr>
        <w:t>工作交接要求</w:t>
      </w:r>
      <w:bookmarkEnd w:id="16"/>
    </w:p>
    <w:p w14:paraId="3BB209CF">
      <w:pPr>
        <w:pStyle w:val="30"/>
        <w:bidi w:val="0"/>
        <w:rPr>
          <w:rFonts w:hint="default"/>
          <w:lang w:val="en-US" w:eastAsia="zh-CN"/>
        </w:rPr>
      </w:pPr>
      <w:bookmarkStart w:id="17" w:name="_Toc32308"/>
      <w:r>
        <w:rPr>
          <w:rFonts w:hint="default"/>
          <w:lang w:val="en-US" w:eastAsia="zh-CN"/>
        </w:rPr>
        <w:t>接收人指定</w:t>
      </w:r>
      <w:bookmarkEnd w:id="17"/>
    </w:p>
    <w:p w14:paraId="252920F9">
      <w:pPr>
        <w:pStyle w:val="29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接收人原则上为岗位接替者。若接替者尚未到岗，则由监督人指定本部门员工作为临时接收人。关键岗位（如部门负责人、核心项目负责人）的交接，须报公司分管领导核准。</w:t>
      </w:r>
    </w:p>
    <w:p w14:paraId="1A96C61D">
      <w:pPr>
        <w:pStyle w:val="30"/>
        <w:bidi w:val="0"/>
        <w:rPr>
          <w:rFonts w:hint="default"/>
          <w:lang w:val="en-US" w:eastAsia="zh-CN"/>
        </w:rPr>
      </w:pPr>
      <w:bookmarkStart w:id="18" w:name="_Toc13043"/>
      <w:r>
        <w:rPr>
          <w:rFonts w:hint="default"/>
          <w:lang w:val="en-US" w:eastAsia="zh-CN"/>
        </w:rPr>
        <w:t>交接时限</w:t>
      </w:r>
      <w:bookmarkEnd w:id="18"/>
    </w:p>
    <w:p w14:paraId="038296BC">
      <w:pPr>
        <w:pStyle w:val="29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岗位调动：应在调令生效前完成全部交接。</w:t>
      </w:r>
    </w:p>
    <w:p w14:paraId="1A5E0A3D">
      <w:pPr>
        <w:pStyle w:val="29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离职：应在最后工作日前完成全部交接。正式员工辞职的交接期包含在法定的30日通知期内。</w:t>
      </w:r>
    </w:p>
    <w:p w14:paraId="7944616E">
      <w:pPr>
        <w:pStyle w:val="29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长期请假：应在休假开始前完成必要的工作委托与事项交接。</w:t>
      </w:r>
    </w:p>
    <w:p w14:paraId="43E66B8C">
      <w:pPr>
        <w:pStyle w:val="29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具体交接计划由监督人根据实际情况与人力资源部协商确定。</w:t>
      </w:r>
    </w:p>
    <w:p w14:paraId="3426A401">
      <w:pPr>
        <w:pStyle w:val="30"/>
        <w:bidi w:val="0"/>
        <w:rPr>
          <w:rFonts w:hint="default"/>
          <w:lang w:val="en-US" w:eastAsia="zh-CN"/>
        </w:rPr>
      </w:pPr>
      <w:bookmarkStart w:id="19" w:name="_Toc23637"/>
      <w:r>
        <w:rPr>
          <w:rFonts w:hint="default"/>
          <w:lang w:val="en-US" w:eastAsia="zh-CN"/>
        </w:rPr>
        <w:t>特殊情况处理</w:t>
      </w:r>
      <w:bookmarkEnd w:id="19"/>
    </w:p>
    <w:p w14:paraId="23C4E33A">
      <w:pPr>
        <w:pStyle w:val="29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如移交人因特殊原因无法亲自办理交接，须提前获得部门负责人及人力资源部书面批准，可授权他人代办，但所有责任仍由移交人承担。</w:t>
      </w:r>
    </w:p>
    <w:p w14:paraId="07E90C26">
      <w:pPr>
        <w:pStyle w:val="30"/>
        <w:bidi w:val="0"/>
        <w:rPr>
          <w:rFonts w:hint="default"/>
          <w:lang w:val="en-US" w:eastAsia="zh-CN"/>
        </w:rPr>
      </w:pPr>
      <w:bookmarkStart w:id="20" w:name="_Toc14402"/>
      <w:r>
        <w:rPr>
          <w:rFonts w:hint="default"/>
          <w:lang w:val="en-US" w:eastAsia="zh-CN"/>
        </w:rPr>
        <w:t>离职关联</w:t>
      </w:r>
      <w:bookmarkEnd w:id="20"/>
    </w:p>
    <w:p w14:paraId="5EC7AF8A">
      <w:pPr>
        <w:pStyle w:val="29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对于离职员工，完整且签字齐全的《工作交接确认单》是人力资源部办理离职结算、开具离职证明及发放最后薪资的必要前提。未完成有效工作交接者，公司有权暂缓办理相关手续。</w:t>
      </w:r>
    </w:p>
    <w:p w14:paraId="7CCFDE70">
      <w:pPr>
        <w:pStyle w:val="28"/>
        <w:bidi w:val="0"/>
        <w:rPr>
          <w:rFonts w:hint="default"/>
          <w:lang w:val="en-US" w:eastAsia="zh-CN"/>
        </w:rPr>
      </w:pPr>
      <w:bookmarkStart w:id="21" w:name="_Toc20337"/>
      <w:r>
        <w:rPr>
          <w:rFonts w:hint="default"/>
          <w:lang w:val="en-US" w:eastAsia="zh-CN"/>
        </w:rPr>
        <w:t>监督与考核</w:t>
      </w:r>
      <w:bookmarkEnd w:id="21"/>
    </w:p>
    <w:p w14:paraId="6853F067">
      <w:pPr>
        <w:pStyle w:val="30"/>
        <w:bidi w:val="0"/>
        <w:rPr>
          <w:rFonts w:hint="default"/>
          <w:lang w:val="en-US" w:eastAsia="zh-CN"/>
        </w:rPr>
      </w:pPr>
      <w:bookmarkStart w:id="22" w:name="_Toc12143"/>
      <w:r>
        <w:rPr>
          <w:rFonts w:hint="default"/>
          <w:lang w:val="en-US" w:eastAsia="zh-CN"/>
        </w:rPr>
        <w:t>部门责任制</w:t>
      </w:r>
      <w:bookmarkEnd w:id="22"/>
    </w:p>
    <w:p w14:paraId="39247AD2">
      <w:pPr>
        <w:pStyle w:val="29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工作交接实行部门负责人负责制。因交接不清导致公司遭受业务中断、客户投诉、财务损失、信息安全泄露或知识产权流失的，公司将依据情节严重程度，追究移交人、接收人、监督人（部门负责人） 的相应责任。</w:t>
      </w:r>
    </w:p>
    <w:p w14:paraId="5BA9FC32">
      <w:pPr>
        <w:pStyle w:val="30"/>
        <w:bidi w:val="0"/>
        <w:rPr>
          <w:rFonts w:hint="default"/>
          <w:lang w:val="en-US" w:eastAsia="zh-CN"/>
        </w:rPr>
      </w:pPr>
      <w:bookmarkStart w:id="23" w:name="_Toc27523"/>
      <w:r>
        <w:rPr>
          <w:rFonts w:hint="default"/>
          <w:lang w:val="en-US" w:eastAsia="zh-CN"/>
        </w:rPr>
        <w:t>追究情形</w:t>
      </w:r>
      <w:bookmarkEnd w:id="23"/>
    </w:p>
    <w:p w14:paraId="349C3DE4">
      <w:pPr>
        <w:pStyle w:val="29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包括但不限于：</w:t>
      </w:r>
    </w:p>
    <w:p w14:paraId="103C23D3">
      <w:pPr>
        <w:pStyle w:val="29"/>
        <w:numPr>
          <w:ilvl w:val="0"/>
          <w:numId w:val="2"/>
        </w:numPr>
        <w:ind w:left="425" w:leftChars="0" w:hanging="425" w:firstLine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应安排交接而未安排，或仅进行口头交接。</w:t>
      </w:r>
    </w:p>
    <w:p w14:paraId="47C8173C">
      <w:pPr>
        <w:pStyle w:val="29"/>
        <w:numPr>
          <w:ilvl w:val="0"/>
          <w:numId w:val="2"/>
        </w:numPr>
        <w:ind w:left="425" w:leftChars="0" w:hanging="425" w:firstLine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移交人故意隐瞒、遗漏关键工作或资料。</w:t>
      </w:r>
    </w:p>
    <w:p w14:paraId="47941934">
      <w:pPr>
        <w:pStyle w:val="29"/>
        <w:numPr>
          <w:ilvl w:val="0"/>
          <w:numId w:val="2"/>
        </w:numPr>
        <w:ind w:left="425" w:leftChars="0" w:hanging="425" w:firstLine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接收人未认真核实即予确认。</w:t>
      </w:r>
    </w:p>
    <w:p w14:paraId="62468590">
      <w:pPr>
        <w:pStyle w:val="29"/>
        <w:numPr>
          <w:ilvl w:val="0"/>
          <w:numId w:val="2"/>
        </w:numPr>
        <w:ind w:left="425" w:leftChars="0" w:hanging="425" w:firstLine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监督人审核、监督不力，流于形式。</w:t>
      </w:r>
    </w:p>
    <w:p w14:paraId="7EFDD406">
      <w:pPr>
        <w:pStyle w:val="29"/>
        <w:numPr>
          <w:ilvl w:val="0"/>
          <w:numId w:val="2"/>
        </w:numPr>
        <w:ind w:left="425" w:leftChars="0" w:hanging="425" w:firstLine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未按本办法规定的程序和要求进行交接。</w:t>
      </w:r>
    </w:p>
    <w:p w14:paraId="2768A393">
      <w:pPr>
        <w:pStyle w:val="29"/>
        <w:numPr>
          <w:ilvl w:val="0"/>
          <w:numId w:val="2"/>
        </w:numPr>
        <w:ind w:left="425" w:leftChars="0" w:hanging="425" w:firstLine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交接文件未按要求存档。</w:t>
      </w:r>
    </w:p>
    <w:p w14:paraId="44A20B46">
      <w:pPr>
        <w:pStyle w:val="28"/>
        <w:bidi w:val="0"/>
        <w:rPr>
          <w:rFonts w:hint="default"/>
          <w:lang w:val="en-US" w:eastAsia="zh-CN"/>
        </w:rPr>
      </w:pPr>
      <w:bookmarkStart w:id="24" w:name="_Toc32013"/>
      <w:r>
        <w:rPr>
          <w:rFonts w:hint="default"/>
          <w:lang w:val="en-US" w:eastAsia="zh-CN"/>
        </w:rPr>
        <w:t>附则</w:t>
      </w:r>
      <w:bookmarkEnd w:id="24"/>
    </w:p>
    <w:p w14:paraId="47EA7B8A">
      <w:pPr>
        <w:pStyle w:val="29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本办法由人力资源部负责解释与修订。</w:t>
      </w:r>
    </w:p>
    <w:p w14:paraId="57403745">
      <w:pPr>
        <w:pStyle w:val="29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本办法自发布之日起实施，原相关规定与本办法不一致的，以本办法为准。</w:t>
      </w:r>
    </w:p>
    <w:p w14:paraId="0834989C">
      <w:pPr>
        <w:pStyle w:val="29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本办法涉及的《工作交接清单》、《工作交接确认单》等附件，由人力资源部负责制定与更新。</w:t>
      </w:r>
    </w:p>
    <w:p w14:paraId="62C92E5C">
      <w:pPr>
        <w:pStyle w:val="29"/>
        <w:rPr>
          <w:rFonts w:hint="default"/>
          <w:lang w:val="en-US" w:eastAsia="zh-CN"/>
        </w:rPr>
      </w:pPr>
    </w:p>
    <w:sectPr>
      <w:headerReference r:id="rId5" w:type="default"/>
      <w:footerReference r:id="rId6" w:type="default"/>
      <w:pgSz w:w="11906" w:h="16838"/>
      <w:pgMar w:top="1417" w:right="1800" w:bottom="1440" w:left="1800" w:header="1140" w:footer="992" w:gutter="0"/>
      <w:cols w:space="425" w:num="1"/>
      <w:docGrid w:type="lines" w:linePitch="312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1"/>
    <w:family w:val="roman"/>
    <w:pitch w:val="default"/>
    <w:sig w:usb0="E0002EFF" w:usb1="C000785B" w:usb2="00000009" w:usb3="00000000" w:csb0="400001FF" w:csb1="FFFF0000"/>
  </w:font>
  <w:font w:name="宋体">
    <w:panose1 w:val="02010600030101010101"/>
    <w:charset w:val="50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Microsoft JhengHei">
    <w:panose1 w:val="020B0604030504040204"/>
    <w:charset w:val="88"/>
    <w:family w:val="auto"/>
    <w:pitch w:val="default"/>
    <w:sig w:usb0="000002A7" w:usb1="28CF4400" w:usb2="00000016" w:usb3="00000000" w:csb0="00100009" w:csb1="00000000"/>
  </w:font>
  <w:font w:name="微软雅黑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Tahoma">
    <w:panose1 w:val="020B0604030504040204"/>
    <w:charset w:val="00"/>
    <w:family w:val="auto"/>
    <w:pitch w:val="default"/>
    <w:sig w:usb0="E1002EFF" w:usb1="C000605B" w:usb2="00000029" w:usb3="00000000" w:csb0="200101FF" w:csb1="2028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60C9FE72">
    <w:pPr>
      <w:pStyle w:val="14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line="360" w:lineRule="auto"/>
      </w:pPr>
      <w:r>
        <w:separator/>
      </w:r>
    </w:p>
  </w:footnote>
  <w:footnote w:type="continuationSeparator" w:id="1">
    <w:p>
      <w:pPr>
        <w:spacing w:line="36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16513494">
    <w:pPr>
      <w:pStyle w:val="15"/>
      <w:pBdr>
        <w:bottom w:val="single" w:color="auto" w:sz="4" w:space="1"/>
      </w:pBdr>
      <w:tabs>
        <w:tab w:val="left" w:pos="335"/>
        <w:tab w:val="right" w:pos="8426"/>
      </w:tabs>
      <w:jc w:val="right"/>
      <w:rPr>
        <w:rFonts w:hint="eastAsia" w:eastAsiaTheme="minorEastAsia"/>
        <w:lang w:eastAsia="zh-CN"/>
      </w:rPr>
    </w:pPr>
    <w:r>
      <w:rPr>
        <w:rFonts w:hint="eastAsia" w:eastAsiaTheme="minorEastAsia"/>
        <w:lang w:val="en-US" w:eastAsia="zh-CN"/>
      </w:rPr>
      <w:tab/>
    </w:r>
    <w:r>
      <w:rPr>
        <w:rFonts w:hint="eastAsia" w:eastAsiaTheme="minorEastAsia"/>
        <w:lang w:val="en-US" w:eastAsia="zh-CN"/>
      </w:rPr>
      <w:tab/>
    </w:r>
    <w:r>
      <w:rPr>
        <w:rFonts w:hint="eastAsia" w:eastAsiaTheme="minorEastAsia"/>
        <w:lang w:val="en-US" w:eastAsia="zh-CN"/>
      </w:rPr>
      <w:t>桐乡华数广电网络有限公司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8E964DCE"/>
    <w:multiLevelType w:val="multilevel"/>
    <w:tmpl w:val="8E964DCE"/>
    <w:lvl w:ilvl="0" w:tentative="0">
      <w:start w:val="1"/>
      <w:numFmt w:val="decimal"/>
      <w:pStyle w:val="2"/>
      <w:lvlText w:val="%1."/>
      <w:lvlJc w:val="left"/>
      <w:pPr>
        <w:ind w:left="432" w:hanging="432"/>
      </w:pPr>
      <w:rPr>
        <w:rFonts w:hint="default"/>
      </w:rPr>
    </w:lvl>
    <w:lvl w:ilvl="1" w:tentative="0">
      <w:start w:val="1"/>
      <w:numFmt w:val="decimal"/>
      <w:pStyle w:val="3"/>
      <w:lvlText w:val="%1.%2."/>
      <w:lvlJc w:val="left"/>
      <w:pPr>
        <w:ind w:left="575" w:hanging="575"/>
      </w:pPr>
      <w:rPr>
        <w:rFonts w:hint="default"/>
      </w:rPr>
    </w:lvl>
    <w:lvl w:ilvl="2" w:tentative="0">
      <w:start w:val="1"/>
      <w:numFmt w:val="decimal"/>
      <w:pStyle w:val="4"/>
      <w:lvlText w:val="%1.%2.%3."/>
      <w:lvlJc w:val="left"/>
      <w:pPr>
        <w:ind w:left="720" w:hanging="720"/>
      </w:pPr>
      <w:rPr>
        <w:rFonts w:hint="default"/>
      </w:rPr>
    </w:lvl>
    <w:lvl w:ilvl="3" w:tentative="0">
      <w:start w:val="1"/>
      <w:numFmt w:val="decimal"/>
      <w:pStyle w:val="5"/>
      <w:lvlText w:val="%1.%2.%3.%4."/>
      <w:lvlJc w:val="left"/>
      <w:pPr>
        <w:ind w:left="864" w:hanging="864"/>
      </w:pPr>
      <w:rPr>
        <w:rFonts w:hint="default"/>
      </w:rPr>
    </w:lvl>
    <w:lvl w:ilvl="4" w:tentative="0">
      <w:start w:val="1"/>
      <w:numFmt w:val="decimal"/>
      <w:pStyle w:val="6"/>
      <w:lvlText w:val="%1.%2.%3.%4.%5."/>
      <w:lvlJc w:val="left"/>
      <w:pPr>
        <w:ind w:left="1008" w:hanging="1008"/>
      </w:pPr>
      <w:rPr>
        <w:rFonts w:hint="default"/>
      </w:rPr>
    </w:lvl>
    <w:lvl w:ilvl="5" w:tentative="0">
      <w:start w:val="1"/>
      <w:numFmt w:val="decimal"/>
      <w:pStyle w:val="7"/>
      <w:lvlText w:val="%1.%2.%3.%4.%5.%6."/>
      <w:lvlJc w:val="left"/>
      <w:pPr>
        <w:ind w:left="1151" w:hanging="1151"/>
      </w:pPr>
      <w:rPr>
        <w:rFonts w:hint="default"/>
      </w:rPr>
    </w:lvl>
    <w:lvl w:ilvl="6" w:tentative="0">
      <w:start w:val="1"/>
      <w:numFmt w:val="decimal"/>
      <w:pStyle w:val="8"/>
      <w:lvlText w:val="%1.%2.%3.%4.%5.%6.%7."/>
      <w:lvlJc w:val="left"/>
      <w:pPr>
        <w:ind w:left="1296" w:hanging="1296"/>
      </w:pPr>
      <w:rPr>
        <w:rFonts w:hint="default"/>
      </w:rPr>
    </w:lvl>
    <w:lvl w:ilvl="7" w:tentative="0">
      <w:start w:val="1"/>
      <w:numFmt w:val="decimal"/>
      <w:pStyle w:val="9"/>
      <w:lvlText w:val="%1.%2.%3.%4.%5.%6.%7.%8."/>
      <w:lvlJc w:val="left"/>
      <w:pPr>
        <w:ind w:left="1440" w:hanging="1440"/>
      </w:pPr>
      <w:rPr>
        <w:rFonts w:hint="default"/>
      </w:rPr>
    </w:lvl>
    <w:lvl w:ilvl="8" w:tentative="0">
      <w:start w:val="1"/>
      <w:numFmt w:val="decimal"/>
      <w:pStyle w:val="10"/>
      <w:lvlText w:val="%1.%2.%3.%4.%5.%6.%7.%8.%9."/>
      <w:lvlJc w:val="left"/>
      <w:pPr>
        <w:ind w:left="1583" w:hanging="1583"/>
      </w:pPr>
      <w:rPr>
        <w:rFonts w:hint="default"/>
      </w:rPr>
    </w:lvl>
  </w:abstractNum>
  <w:abstractNum w:abstractNumId="1">
    <w:nsid w:val="B7581AE9"/>
    <w:multiLevelType w:val="singleLevel"/>
    <w:tmpl w:val="B7581AE9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num w:numId="1">
    <w:abstractNumId w:val="0"/>
  </w:num>
  <w:num w:numId="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0"/>
  <w:embedSystemFonts/>
  <w:doNotTrackMoves/>
  <w:documentProtection w:enforcement="0"/>
  <w:defaultTabStop w:val="420"/>
  <w:drawingGridVerticalSpacing w:val="156"/>
  <w:noPunctuationKerning w:val="1"/>
  <w:characterSpacingControl w:val="compressPunctuation"/>
  <w:footnotePr>
    <w:footnote w:id="0"/>
    <w:footnote w:id="1"/>
  </w:footnotePr>
  <w:endnotePr>
    <w:endnote w:id="0"/>
    <w:endnote w:id="1"/>
  </w:endnotePr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000000"/>
    <w:rsid w:val="15B67E4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/>
    <o:shapelayout v:ext="edit">
      <o:idmap v:ext="edit" data="1"/>
    </o:shapelayout>
  </w:shapeDefaults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semiHidden="0" w:name="heading 2"/>
    <w:lsdException w:qFormat="1" w:uiPriority="0" w:name="heading 3"/>
    <w:lsdException w:qFormat="1" w:uiPriority="0" w:semiHidden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qFormat="1" w:unhideWhenUsed="0" w:uiPriority="0" w:semiHidden="0" w:name="toc 1"/>
    <w:lsdException w:qFormat="1" w:unhideWhenUsed="0" w:uiPriority="0" w:semiHidden="0" w:name="toc 2"/>
    <w:lsdException w:qFormat="1"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qFormat="1" w:unhideWhenUsed="0" w:uiPriority="0" w:semiHidden="0" w:name="annotation text"/>
    <w:lsdException w:qFormat="1" w:unhideWhenUsed="0" w:uiPriority="0" w:semiHidden="0" w:name="header"/>
    <w:lsdException w:qFormat="1"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qFormat="1" w:unhideWhenUsed="0" w:uiPriority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iPriority="99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qFormat="1"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qFormat="1"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kinsoku w:val="0"/>
      <w:autoSpaceDE w:val="0"/>
      <w:autoSpaceDN w:val="0"/>
      <w:adjustRightInd w:val="0"/>
      <w:snapToGrid w:val="0"/>
      <w:spacing w:line="360" w:lineRule="auto"/>
      <w:jc w:val="left"/>
      <w:textAlignment w:val="baseline"/>
    </w:pPr>
    <w:rPr>
      <w:rFonts w:ascii="Arial" w:hAnsi="Arial" w:eastAsia="宋体" w:cs="Arial"/>
      <w:snapToGrid w:val="0"/>
      <w:color w:val="000000"/>
      <w:kern w:val="0"/>
      <w:sz w:val="21"/>
      <w:szCs w:val="21"/>
      <w:lang w:val="en-US" w:eastAsia="en-US" w:bidi="ar-SA"/>
    </w:rPr>
  </w:style>
  <w:style w:type="paragraph" w:styleId="2">
    <w:name w:val="heading 1"/>
    <w:basedOn w:val="1"/>
    <w:next w:val="1"/>
    <w:qFormat/>
    <w:uiPriority w:val="0"/>
    <w:pPr>
      <w:keepNext/>
      <w:keepLines/>
      <w:numPr>
        <w:ilvl w:val="0"/>
        <w:numId w:val="1"/>
      </w:numPr>
      <w:spacing w:before="340" w:beforeLines="0" w:beforeAutospacing="0" w:after="330" w:afterLines="0" w:afterAutospacing="0" w:line="576" w:lineRule="auto"/>
      <w:ind w:left="432" w:hanging="432"/>
      <w:outlineLvl w:val="0"/>
    </w:pPr>
    <w:rPr>
      <w:b/>
      <w:kern w:val="44"/>
      <w:sz w:val="44"/>
    </w:rPr>
  </w:style>
  <w:style w:type="paragraph" w:styleId="3">
    <w:name w:val="heading 2"/>
    <w:basedOn w:val="1"/>
    <w:next w:val="1"/>
    <w:unhideWhenUsed/>
    <w:qFormat/>
    <w:uiPriority w:val="0"/>
    <w:pPr>
      <w:keepNext/>
      <w:keepLines/>
      <w:numPr>
        <w:ilvl w:val="1"/>
        <w:numId w:val="1"/>
      </w:numPr>
      <w:spacing w:before="260" w:beforeLines="0" w:beforeAutospacing="0" w:after="260" w:afterLines="0" w:afterAutospacing="0" w:line="413" w:lineRule="auto"/>
      <w:ind w:left="575" w:hanging="575"/>
      <w:outlineLvl w:val="1"/>
    </w:pPr>
    <w:rPr>
      <w:rFonts w:ascii="Arial" w:hAnsi="Arial" w:eastAsia="黑体"/>
      <w:b/>
      <w:sz w:val="32"/>
    </w:rPr>
  </w:style>
  <w:style w:type="paragraph" w:styleId="4">
    <w:name w:val="heading 3"/>
    <w:basedOn w:val="1"/>
    <w:next w:val="1"/>
    <w:semiHidden/>
    <w:unhideWhenUsed/>
    <w:qFormat/>
    <w:uiPriority w:val="0"/>
    <w:pPr>
      <w:keepNext/>
      <w:keepLines/>
      <w:numPr>
        <w:ilvl w:val="2"/>
        <w:numId w:val="1"/>
      </w:numPr>
      <w:spacing w:before="260" w:beforeLines="0" w:beforeAutospacing="0" w:after="260" w:afterLines="0" w:afterAutospacing="0" w:line="413" w:lineRule="auto"/>
      <w:ind w:left="720" w:hanging="720"/>
      <w:outlineLvl w:val="2"/>
    </w:pPr>
    <w:rPr>
      <w:b/>
      <w:sz w:val="32"/>
    </w:rPr>
  </w:style>
  <w:style w:type="paragraph" w:styleId="5">
    <w:name w:val="heading 4"/>
    <w:basedOn w:val="1"/>
    <w:next w:val="1"/>
    <w:unhideWhenUsed/>
    <w:qFormat/>
    <w:uiPriority w:val="0"/>
    <w:pPr>
      <w:keepNext/>
      <w:keepLines/>
      <w:numPr>
        <w:ilvl w:val="3"/>
        <w:numId w:val="1"/>
      </w:numPr>
      <w:spacing w:before="280" w:beforeLines="0" w:beforeAutospacing="0" w:after="290" w:afterLines="0" w:afterAutospacing="0" w:line="372" w:lineRule="auto"/>
      <w:ind w:left="864" w:hanging="864"/>
      <w:outlineLvl w:val="3"/>
    </w:pPr>
    <w:rPr>
      <w:rFonts w:ascii="Arial" w:hAnsi="Arial" w:eastAsia="黑体"/>
      <w:b/>
      <w:sz w:val="28"/>
    </w:rPr>
  </w:style>
  <w:style w:type="paragraph" w:styleId="6">
    <w:name w:val="heading 5"/>
    <w:basedOn w:val="1"/>
    <w:next w:val="1"/>
    <w:semiHidden/>
    <w:unhideWhenUsed/>
    <w:qFormat/>
    <w:uiPriority w:val="0"/>
    <w:pPr>
      <w:keepNext/>
      <w:keepLines/>
      <w:numPr>
        <w:ilvl w:val="4"/>
        <w:numId w:val="1"/>
      </w:numPr>
      <w:spacing w:before="280" w:beforeLines="0" w:beforeAutospacing="0" w:after="290" w:afterLines="0" w:afterAutospacing="0" w:line="372" w:lineRule="auto"/>
      <w:ind w:left="1008" w:hanging="1008"/>
      <w:outlineLvl w:val="4"/>
    </w:pPr>
    <w:rPr>
      <w:b/>
      <w:sz w:val="28"/>
    </w:rPr>
  </w:style>
  <w:style w:type="paragraph" w:styleId="7">
    <w:name w:val="heading 6"/>
    <w:basedOn w:val="1"/>
    <w:next w:val="1"/>
    <w:semiHidden/>
    <w:unhideWhenUsed/>
    <w:qFormat/>
    <w:uiPriority w:val="0"/>
    <w:pPr>
      <w:keepNext/>
      <w:keepLines/>
      <w:numPr>
        <w:ilvl w:val="5"/>
        <w:numId w:val="1"/>
      </w:numPr>
      <w:spacing w:before="240" w:beforeLines="0" w:beforeAutospacing="0" w:after="64" w:afterLines="0" w:afterAutospacing="0" w:line="317" w:lineRule="auto"/>
      <w:ind w:left="1151" w:hanging="1151"/>
      <w:outlineLvl w:val="5"/>
    </w:pPr>
    <w:rPr>
      <w:rFonts w:ascii="Arial" w:hAnsi="Arial" w:eastAsia="黑体"/>
      <w:b/>
      <w:sz w:val="24"/>
    </w:rPr>
  </w:style>
  <w:style w:type="paragraph" w:styleId="8">
    <w:name w:val="heading 7"/>
    <w:basedOn w:val="1"/>
    <w:next w:val="1"/>
    <w:semiHidden/>
    <w:unhideWhenUsed/>
    <w:qFormat/>
    <w:uiPriority w:val="0"/>
    <w:pPr>
      <w:keepNext/>
      <w:keepLines/>
      <w:numPr>
        <w:ilvl w:val="6"/>
        <w:numId w:val="1"/>
      </w:numPr>
      <w:spacing w:before="240" w:beforeLines="0" w:beforeAutospacing="0" w:after="64" w:afterLines="0" w:afterAutospacing="0" w:line="317" w:lineRule="auto"/>
      <w:ind w:left="1296" w:hanging="1296"/>
      <w:outlineLvl w:val="6"/>
    </w:pPr>
    <w:rPr>
      <w:b/>
      <w:sz w:val="24"/>
    </w:rPr>
  </w:style>
  <w:style w:type="paragraph" w:styleId="9">
    <w:name w:val="heading 8"/>
    <w:basedOn w:val="1"/>
    <w:next w:val="1"/>
    <w:semiHidden/>
    <w:unhideWhenUsed/>
    <w:qFormat/>
    <w:uiPriority w:val="0"/>
    <w:pPr>
      <w:keepNext/>
      <w:keepLines/>
      <w:numPr>
        <w:ilvl w:val="7"/>
        <w:numId w:val="1"/>
      </w:numPr>
      <w:spacing w:before="240" w:beforeLines="0" w:beforeAutospacing="0" w:after="64" w:afterLines="0" w:afterAutospacing="0" w:line="317" w:lineRule="auto"/>
      <w:ind w:left="1440" w:hanging="1440"/>
      <w:outlineLvl w:val="7"/>
    </w:pPr>
    <w:rPr>
      <w:rFonts w:ascii="Arial" w:hAnsi="Arial" w:eastAsia="黑体"/>
      <w:sz w:val="24"/>
    </w:rPr>
  </w:style>
  <w:style w:type="paragraph" w:styleId="10">
    <w:name w:val="heading 9"/>
    <w:basedOn w:val="1"/>
    <w:next w:val="1"/>
    <w:semiHidden/>
    <w:unhideWhenUsed/>
    <w:qFormat/>
    <w:uiPriority w:val="0"/>
    <w:pPr>
      <w:keepNext/>
      <w:keepLines/>
      <w:numPr>
        <w:ilvl w:val="8"/>
        <w:numId w:val="1"/>
      </w:numPr>
      <w:spacing w:before="240" w:beforeLines="0" w:beforeAutospacing="0" w:after="64" w:afterLines="0" w:afterAutospacing="0" w:line="317" w:lineRule="auto"/>
      <w:ind w:left="1583" w:hanging="1583"/>
      <w:outlineLvl w:val="8"/>
    </w:pPr>
    <w:rPr>
      <w:rFonts w:ascii="Arial" w:hAnsi="Arial" w:eastAsia="黑体"/>
      <w:sz w:val="21"/>
    </w:rPr>
  </w:style>
  <w:style w:type="character" w:default="1" w:styleId="22">
    <w:name w:val="Default Paragraph Font"/>
    <w:semiHidden/>
    <w:qFormat/>
    <w:uiPriority w:val="0"/>
  </w:style>
  <w:style w:type="table" w:default="1" w:styleId="20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11">
    <w:name w:val="annotation text"/>
    <w:basedOn w:val="1"/>
    <w:qFormat/>
    <w:uiPriority w:val="0"/>
    <w:pPr>
      <w:jc w:val="left"/>
    </w:pPr>
  </w:style>
  <w:style w:type="paragraph" w:styleId="12">
    <w:name w:val="Body Text"/>
    <w:basedOn w:val="1"/>
    <w:semiHidden/>
    <w:qFormat/>
    <w:uiPriority w:val="0"/>
    <w:rPr>
      <w:rFonts w:ascii="Arial" w:hAnsi="Arial" w:eastAsia="Arial" w:cs="Arial"/>
      <w:sz w:val="21"/>
      <w:szCs w:val="21"/>
      <w:lang w:val="en-US" w:eastAsia="en-US" w:bidi="ar-SA"/>
    </w:rPr>
  </w:style>
  <w:style w:type="paragraph" w:styleId="13">
    <w:name w:val="toc 3"/>
    <w:basedOn w:val="1"/>
    <w:next w:val="1"/>
    <w:qFormat/>
    <w:uiPriority w:val="0"/>
    <w:pPr>
      <w:ind w:left="840" w:leftChars="400"/>
    </w:pPr>
  </w:style>
  <w:style w:type="paragraph" w:styleId="14">
    <w:name w:val="footer"/>
    <w:basedOn w:val="1"/>
    <w:qFormat/>
    <w:uiPriority w:val="0"/>
    <w:pPr>
      <w:tabs>
        <w:tab w:val="center" w:pos="4153"/>
        <w:tab w:val="right" w:pos="8306"/>
      </w:tabs>
      <w:snapToGrid w:val="0"/>
      <w:jc w:val="left"/>
    </w:pPr>
    <w:rPr>
      <w:sz w:val="18"/>
    </w:rPr>
  </w:style>
  <w:style w:type="paragraph" w:styleId="15">
    <w:name w:val="header"/>
    <w:basedOn w:val="1"/>
    <w:qFormat/>
    <w:uiPriority w:val="0"/>
    <w:pPr>
      <w:pBdr>
        <w:top w:val="none" w:color="auto" w:sz="0" w:space="0"/>
        <w:left w:val="none" w:color="auto" w:sz="0" w:space="0"/>
        <w:bottom w:val="none" w:color="auto" w:sz="0" w:space="0"/>
        <w:right w:val="none" w:color="auto" w:sz="0" w:space="0"/>
      </w:pBdr>
      <w:tabs>
        <w:tab w:val="center" w:pos="4153"/>
        <w:tab w:val="right" w:pos="8306"/>
      </w:tabs>
      <w:snapToGrid w:val="0"/>
      <w:spacing w:line="240" w:lineRule="auto"/>
      <w:jc w:val="both"/>
      <w:outlineLvl w:val="9"/>
    </w:pPr>
    <w:rPr>
      <w:sz w:val="18"/>
    </w:rPr>
  </w:style>
  <w:style w:type="paragraph" w:styleId="16">
    <w:name w:val="toc 1"/>
    <w:basedOn w:val="1"/>
    <w:next w:val="1"/>
    <w:qFormat/>
    <w:uiPriority w:val="0"/>
    <w:rPr>
      <w:rFonts w:ascii="Arial" w:hAnsi="Arial" w:eastAsia="Microsoft JhengHei"/>
      <w:sz w:val="24"/>
    </w:rPr>
  </w:style>
  <w:style w:type="paragraph" w:styleId="17">
    <w:name w:val="toc 2"/>
    <w:basedOn w:val="1"/>
    <w:next w:val="1"/>
    <w:qFormat/>
    <w:uiPriority w:val="0"/>
    <w:pPr>
      <w:ind w:left="420" w:leftChars="200"/>
    </w:pPr>
  </w:style>
  <w:style w:type="paragraph" w:styleId="18">
    <w:name w:val="Normal (Web)"/>
    <w:basedOn w:val="1"/>
    <w:qFormat/>
    <w:uiPriority w:val="0"/>
    <w:rPr>
      <w:sz w:val="24"/>
    </w:rPr>
  </w:style>
  <w:style w:type="paragraph" w:styleId="19">
    <w:name w:val="Title"/>
    <w:basedOn w:val="1"/>
    <w:qFormat/>
    <w:uiPriority w:val="0"/>
    <w:pPr>
      <w:spacing w:before="240" w:beforeLines="0" w:beforeAutospacing="0" w:after="60" w:afterLines="0" w:afterAutospacing="0"/>
      <w:jc w:val="center"/>
      <w:outlineLvl w:val="0"/>
    </w:pPr>
    <w:rPr>
      <w:rFonts w:ascii="Arial" w:hAnsi="Arial"/>
      <w:b/>
      <w:sz w:val="32"/>
    </w:rPr>
  </w:style>
  <w:style w:type="table" w:styleId="21">
    <w:name w:val="Table Grid"/>
    <w:basedOn w:val="20"/>
    <w:qFormat/>
    <w:uiPriority w:val="0"/>
    <w:pPr>
      <w:widowControl w:val="0"/>
      <w:jc w:val="both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character" w:styleId="23">
    <w:name w:val="Strong"/>
    <w:basedOn w:val="22"/>
    <w:qFormat/>
    <w:uiPriority w:val="0"/>
    <w:rPr>
      <w:b/>
    </w:rPr>
  </w:style>
  <w:style w:type="paragraph" w:customStyle="1" w:styleId="24">
    <w:name w:val="柴_公司名"/>
    <w:basedOn w:val="19"/>
    <w:qFormat/>
    <w:uiPriority w:val="0"/>
    <w:pPr>
      <w:spacing w:after="600" w:afterLines="600"/>
    </w:pPr>
    <w:rPr>
      <w:rFonts w:hint="eastAsia" w:ascii="宋体" w:hAnsi="宋体" w:eastAsia="宋体" w:cs="宋体"/>
      <w:bCs/>
      <w:spacing w:val="-6"/>
      <w:sz w:val="52"/>
      <w:szCs w:val="52"/>
    </w:rPr>
  </w:style>
  <w:style w:type="paragraph" w:customStyle="1" w:styleId="25">
    <w:name w:val="柴_文档名"/>
    <w:basedOn w:val="19"/>
    <w:qFormat/>
    <w:uiPriority w:val="0"/>
    <w:pPr>
      <w:spacing w:after="900" w:afterLines="900"/>
    </w:pPr>
    <w:rPr>
      <w:rFonts w:ascii="黑体" w:hAnsi="黑体" w:eastAsia="黑体" w:cs="黑体"/>
      <w:bCs/>
      <w:spacing w:val="-7"/>
      <w:sz w:val="52"/>
      <w:szCs w:val="52"/>
    </w:rPr>
  </w:style>
  <w:style w:type="table" w:customStyle="1" w:styleId="26">
    <w:name w:val="Table Normal_0"/>
    <w:semiHidden/>
    <w:unhideWhenUsed/>
    <w:qFormat/>
    <w:uiPriority w:val="0"/>
    <w:tblPr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27">
    <w:name w:val="Table Text"/>
    <w:basedOn w:val="1"/>
    <w:semiHidden/>
    <w:qFormat/>
    <w:uiPriority w:val="0"/>
    <w:rPr>
      <w:rFonts w:ascii="宋体" w:hAnsi="宋体" w:eastAsia="宋体" w:cs="宋体"/>
      <w:sz w:val="21"/>
      <w:szCs w:val="21"/>
      <w:lang w:val="en-US" w:eastAsia="en-US" w:bidi="ar-SA"/>
    </w:rPr>
  </w:style>
  <w:style w:type="paragraph" w:customStyle="1" w:styleId="28">
    <w:name w:val="柴_标题1"/>
    <w:basedOn w:val="2"/>
    <w:next w:val="29"/>
    <w:link w:val="38"/>
    <w:qFormat/>
    <w:uiPriority w:val="0"/>
    <w:pPr>
      <w:spacing w:before="100" w:after="90" w:line="360" w:lineRule="auto"/>
    </w:pPr>
    <w:rPr>
      <w:rFonts w:ascii="Arial" w:hAnsi="Arial" w:eastAsia="宋体"/>
      <w:sz w:val="32"/>
    </w:rPr>
  </w:style>
  <w:style w:type="paragraph" w:customStyle="1" w:styleId="29">
    <w:name w:val="柴_正文"/>
    <w:basedOn w:val="12"/>
    <w:link w:val="42"/>
    <w:qFormat/>
    <w:uiPriority w:val="0"/>
    <w:pPr>
      <w:spacing w:line="360" w:lineRule="auto"/>
      <w:ind w:firstLine="470" w:firstLineChars="200"/>
    </w:pPr>
    <w:rPr>
      <w:rFonts w:ascii="Arial" w:hAnsi="Arial" w:eastAsia="宋体"/>
      <w:sz w:val="24"/>
      <w:lang w:eastAsia="zh-CN"/>
    </w:rPr>
  </w:style>
  <w:style w:type="paragraph" w:customStyle="1" w:styleId="30">
    <w:name w:val="柴_标题2"/>
    <w:basedOn w:val="3"/>
    <w:next w:val="29"/>
    <w:qFormat/>
    <w:uiPriority w:val="0"/>
    <w:pPr>
      <w:spacing w:line="360" w:lineRule="auto"/>
    </w:pPr>
    <w:rPr>
      <w:rFonts w:ascii="Arial" w:hAnsi="Arial" w:eastAsia="宋体"/>
      <w:sz w:val="28"/>
    </w:rPr>
  </w:style>
  <w:style w:type="paragraph" w:customStyle="1" w:styleId="31">
    <w:name w:val="柴_标题3"/>
    <w:basedOn w:val="4"/>
    <w:next w:val="29"/>
    <w:qFormat/>
    <w:uiPriority w:val="0"/>
    <w:pPr>
      <w:spacing w:line="360" w:lineRule="auto"/>
      <w:ind w:left="0" w:firstLine="472" w:firstLineChars="200"/>
    </w:pPr>
    <w:rPr>
      <w:rFonts w:ascii="宋体" w:hAnsi="宋体" w:eastAsia="宋体" w:cs="宋体"/>
      <w:spacing w:val="-2"/>
      <w:sz w:val="24"/>
      <w:szCs w:val="24"/>
    </w:rPr>
  </w:style>
  <w:style w:type="paragraph" w:customStyle="1" w:styleId="32">
    <w:name w:val="柴_目录"/>
    <w:basedOn w:val="1"/>
    <w:next w:val="12"/>
    <w:qFormat/>
    <w:uiPriority w:val="0"/>
    <w:pPr>
      <w:tabs>
        <w:tab w:val="right" w:leader="dot" w:pos="8442"/>
      </w:tabs>
      <w:ind w:left="0" w:leftChars="0"/>
    </w:pPr>
    <w:rPr>
      <w:rFonts w:ascii="Arial" w:hAnsi="Arial" w:eastAsia="Microsoft JhengHei"/>
      <w:sz w:val="24"/>
    </w:rPr>
  </w:style>
  <w:style w:type="paragraph" w:customStyle="1" w:styleId="33">
    <w:name w:val="WPSOffice手动目录 1"/>
    <w:qFormat/>
    <w:uiPriority w:val="0"/>
    <w:pPr>
      <w:ind w:leftChars="0"/>
    </w:pPr>
    <w:rPr>
      <w:rFonts w:ascii="Times New Roman" w:hAnsi="Times New Roman" w:eastAsia="宋体" w:cs="Times New Roman"/>
      <w:sz w:val="20"/>
      <w:szCs w:val="20"/>
    </w:rPr>
  </w:style>
  <w:style w:type="paragraph" w:customStyle="1" w:styleId="34">
    <w:name w:val="WPSOffice手动目录 2"/>
    <w:qFormat/>
    <w:uiPriority w:val="0"/>
    <w:pPr>
      <w:ind w:leftChars="200"/>
    </w:pPr>
    <w:rPr>
      <w:rFonts w:ascii="Times New Roman" w:hAnsi="Times New Roman" w:eastAsia="宋体" w:cs="Times New Roman"/>
      <w:sz w:val="20"/>
      <w:szCs w:val="20"/>
    </w:rPr>
  </w:style>
  <w:style w:type="paragraph" w:customStyle="1" w:styleId="35">
    <w:name w:val="WPSOffice手动目录 3"/>
    <w:qFormat/>
    <w:uiPriority w:val="0"/>
    <w:pPr>
      <w:ind w:leftChars="400"/>
    </w:pPr>
    <w:rPr>
      <w:rFonts w:ascii="Times New Roman" w:hAnsi="Times New Roman" w:eastAsia="宋体" w:cs="Times New Roman"/>
      <w:sz w:val="20"/>
      <w:szCs w:val="20"/>
    </w:rPr>
  </w:style>
  <w:style w:type="paragraph" w:customStyle="1" w:styleId="36">
    <w:name w:val="Compact"/>
    <w:basedOn w:val="12"/>
    <w:qFormat/>
    <w:uiPriority w:val="0"/>
    <w:pPr>
      <w:spacing w:before="36" w:after="36"/>
    </w:pPr>
  </w:style>
  <w:style w:type="table" w:customStyle="1" w:styleId="37">
    <w:name w:val="Table"/>
    <w:semiHidden/>
    <w:unhideWhenUsed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  <w:tblStylePr w:type="firstRow">
      <w:tcPr>
        <w:tcBorders>
          <w:bottom w:val="single" w:color="auto" w:sz="0" w:space="0"/>
        </w:tcBorders>
        <w:vAlign w:val="bottom"/>
      </w:tcPr>
    </w:tblStylePr>
  </w:style>
  <w:style w:type="character" w:customStyle="1" w:styleId="38">
    <w:name w:val="柴_标题1 Char"/>
    <w:link w:val="28"/>
    <w:qFormat/>
    <w:uiPriority w:val="0"/>
    <w:rPr>
      <w:rFonts w:ascii="Arial" w:hAnsi="Arial" w:eastAsia="宋体"/>
      <w:sz w:val="32"/>
    </w:rPr>
  </w:style>
  <w:style w:type="table" w:customStyle="1" w:styleId="39">
    <w:name w:val="Table Normal_1"/>
    <w:semiHidden/>
    <w:unhideWhenUsed/>
    <w:qFormat/>
    <w:uiPriority w:val="0"/>
    <w:tblPr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40">
    <w:name w:val="柴_正文_无缩进"/>
    <w:basedOn w:val="1"/>
    <w:qFormat/>
    <w:uiPriority w:val="0"/>
    <w:pPr>
      <w:ind w:firstLine="0" w:firstLineChars="0"/>
    </w:pPr>
    <w:rPr>
      <w:rFonts w:ascii="Arial" w:hAnsi="Arial"/>
      <w:sz w:val="24"/>
      <w:lang w:eastAsia="zh-CN"/>
    </w:rPr>
  </w:style>
  <w:style w:type="paragraph" w:customStyle="1" w:styleId="41">
    <w:name w:val="柴_标题4"/>
    <w:basedOn w:val="5"/>
    <w:next w:val="1"/>
    <w:qFormat/>
    <w:uiPriority w:val="0"/>
    <w:pPr>
      <w:widowControl w:val="0"/>
      <w:spacing w:before="160" w:line="360" w:lineRule="auto"/>
      <w:ind w:left="981" w:leftChars="300" w:hanging="862"/>
    </w:pPr>
    <w:rPr>
      <w:rFonts w:hint="eastAsia" w:ascii="Calibri" w:hAnsi="Calibri" w:eastAsia="宋体" w:cs="宋体"/>
      <w:sz w:val="24"/>
      <w:szCs w:val="24"/>
      <w:lang w:eastAsia="zh-CN" w:bidi="zh-CN"/>
    </w:rPr>
  </w:style>
  <w:style w:type="character" w:customStyle="1" w:styleId="42">
    <w:name w:val="柴_正文 Char"/>
    <w:link w:val="29"/>
    <w:qFormat/>
    <w:uiPriority w:val="0"/>
    <w:rPr>
      <w:rFonts w:ascii="Arial" w:hAnsi="Arial" w:eastAsia="宋体"/>
      <w:sz w:val="24"/>
      <w:lang w:eastAsia="zh-CN"/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image" Target="media/image2.png"/><Relationship Id="rId8" Type="http://schemas.openxmlformats.org/officeDocument/2006/relationships/image" Target="media/image1.png"/><Relationship Id="rId7" Type="http://schemas.openxmlformats.org/officeDocument/2006/relationships/theme" Target="theme/theme1.xml"/><Relationship Id="rId6" Type="http://schemas.openxmlformats.org/officeDocument/2006/relationships/footer" Target="footer1.xml"/><Relationship Id="rId5" Type="http://schemas.openxmlformats.org/officeDocument/2006/relationships/header" Target="header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2" Type="http://schemas.openxmlformats.org/officeDocument/2006/relationships/fontTable" Target="fontTable.xml"/><Relationship Id="rId11" Type="http://schemas.openxmlformats.org/officeDocument/2006/relationships/numbering" Target="numbering.xml"/><Relationship Id="rId10" Type="http://schemas.openxmlformats.org/officeDocument/2006/relationships/image" Target="media/image3.png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8</Pages>
  <Words>2292</Words>
  <Characters>2419</Characters>
  <Lines>0</Lines>
  <Paragraphs>0</Paragraphs>
  <TotalTime>1</TotalTime>
  <ScaleCrop>false</ScaleCrop>
  <LinksUpToDate>false</LinksUpToDate>
  <CharactersWithSpaces>2470</CharactersWithSpaces>
  <Application>WPS Office_12.1.0.25865_F1E327BC-269C-435d-A152-05C5408002CA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2025-09-03T14:43:00Z</dcterms:created>
  <dc:creator>郝宇</dc:creator>
  <cp:lastModifiedBy>郝宇</cp:lastModifiedBy>
  <dcterms:modified xsi:type="dcterms:W3CDTF">2026-04-24T17:27:32Z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ICV">
    <vt:lpwstr>BA828AC39D334D9FACCDF2EC6AEF6D30_13</vt:lpwstr>
  </property>
  <property fmtid="{D5CDD505-2E9C-101B-9397-08002B2CF9AE}" pid="3" name="KSOProductBuildVer">
    <vt:lpwstr>2052-12.1.0.25865</vt:lpwstr>
  </property>
  <property fmtid="{D5CDD505-2E9C-101B-9397-08002B2CF9AE}" pid="4" name="KSOTemplateDocerSaveRecord">
    <vt:lpwstr>eyJoZGlkIjoiZWI4NmUzMGY2ODA3MDc4ZTFlMjZjZTAyMjM0NmVmODgiLCJ1c2VySWQiOiIxMDc1MzgyOSJ9</vt:lpwstr>
  </property>
</Properties>
</file>