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5A19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924"/>
      <w:r>
        <w:drawing>
          <wp:anchor distT="0" distB="0" distL="114300" distR="114300" simplePos="0" relativeHeight="251661312" behindDoc="1" locked="0" layoutInCell="1" allowOverlap="1">
            <wp:simplePos x="0" y="0"/>
            <wp:positionH relativeFrom="column">
              <wp:posOffset>-19050</wp:posOffset>
            </wp:positionH>
            <wp:positionV relativeFrom="paragraph">
              <wp:posOffset>-26035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38EE5B62">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32322"/>
      <w:r>
        <w:rPr>
          <w:rFonts w:hint="eastAsia"/>
          <w:lang w:val="en-US" w:eastAsia="zh-CN"/>
        </w:rPr>
        <w:t>2025年度人员管理计划</w:t>
      </w:r>
      <w:bookmarkEnd w:id="1"/>
    </w:p>
    <w:p w14:paraId="78B58F07">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EBBC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C25ACC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146EA42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8D02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FC2752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38DFA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31" w:name="_GoBack"/>
            <w:bookmarkEnd w:id="31"/>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4255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C8567E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4046B91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F5BCC5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81ECF2C">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D3E62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EFF5FB5">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A07DA14">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EF0DE4A">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CB2DF3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2E45EB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BAC7161">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DFF6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C210166">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tcPr>
          <w:p w14:paraId="528392C6">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47349270">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3D045ACD">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吴夤</w:t>
            </w:r>
          </w:p>
        </w:tc>
        <w:tc>
          <w:tcPr>
            <w:tcW w:w="1606" w:type="dxa"/>
          </w:tcPr>
          <w:p w14:paraId="1C80E2B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64B43B2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7947B1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9F3658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66F70F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74F28B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2676B5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A70F00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FD0003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F5644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A0B9F5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219D17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BC9214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C11F0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1B8145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8044EF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EFAE4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1E8022B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2DCC3C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2D5A36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D8FF97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D9FF6A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47B7BE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9B4BBA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068D33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DA0CCB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_Toc7924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_Toc7924 \h </w:instrText>
          </w:r>
          <w:r>
            <w:fldChar w:fldCharType="separate"/>
          </w:r>
          <w:r>
            <w:t>1</w:t>
          </w:r>
          <w:r>
            <w:fldChar w:fldCharType="end"/>
          </w:r>
          <w:r>
            <w:rPr>
              <w:rFonts w:hint="eastAsia" w:ascii="宋体" w:hAnsi="宋体" w:eastAsia="宋体" w:cs="宋体"/>
              <w:szCs w:val="24"/>
            </w:rPr>
            <w:fldChar w:fldCharType="end"/>
          </w:r>
        </w:p>
        <w:p w14:paraId="26220D9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_Toc32322 </w:instrText>
          </w:r>
          <w:r>
            <w:rPr>
              <w:rFonts w:hint="eastAsia" w:ascii="宋体" w:hAnsi="宋体" w:eastAsia="宋体" w:cs="宋体"/>
              <w:szCs w:val="24"/>
            </w:rPr>
            <w:fldChar w:fldCharType="separate"/>
          </w:r>
          <w:r>
            <w:rPr>
              <w:rFonts w:hint="eastAsia"/>
              <w:lang w:val="en-US" w:eastAsia="zh-CN"/>
            </w:rPr>
            <w:t>2025年度人员管理计划</w:t>
          </w:r>
          <w:r>
            <w:tab/>
          </w:r>
          <w:r>
            <w:fldChar w:fldCharType="begin"/>
          </w:r>
          <w:r>
            <w:instrText xml:space="preserve"> PAGEREF _Toc32322 \h </w:instrText>
          </w:r>
          <w:r>
            <w:fldChar w:fldCharType="separate"/>
          </w:r>
          <w:r>
            <w:t>1</w:t>
          </w:r>
          <w:r>
            <w:fldChar w:fldCharType="end"/>
          </w:r>
          <w:r>
            <w:rPr>
              <w:rFonts w:hint="eastAsia" w:ascii="宋体" w:hAnsi="宋体" w:eastAsia="宋体" w:cs="宋体"/>
              <w:szCs w:val="24"/>
            </w:rPr>
            <w:fldChar w:fldCharType="end"/>
          </w:r>
        </w:p>
        <w:p w14:paraId="6FC26FE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_Toc8068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_Toc8068 \h </w:instrText>
          </w:r>
          <w:r>
            <w:fldChar w:fldCharType="separate"/>
          </w:r>
          <w:r>
            <w:t>4</w:t>
          </w:r>
          <w:r>
            <w:fldChar w:fldCharType="end"/>
          </w:r>
          <w:r>
            <w:rPr>
              <w:rFonts w:hint="eastAsia" w:ascii="宋体" w:hAnsi="宋体" w:eastAsia="宋体" w:cs="宋体"/>
              <w:szCs w:val="24"/>
            </w:rPr>
            <w:fldChar w:fldCharType="end"/>
          </w:r>
        </w:p>
        <w:p w14:paraId="654F3B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_Toc13808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管理目的</w:t>
          </w:r>
          <w:r>
            <w:tab/>
          </w:r>
          <w:r>
            <w:fldChar w:fldCharType="begin"/>
          </w:r>
          <w:r>
            <w:instrText xml:space="preserve"> PAGEREF _Toc13808 \h </w:instrText>
          </w:r>
          <w:r>
            <w:fldChar w:fldCharType="separate"/>
          </w:r>
          <w:r>
            <w:t>4</w:t>
          </w:r>
          <w:r>
            <w:fldChar w:fldCharType="end"/>
          </w:r>
          <w:r>
            <w:rPr>
              <w:rFonts w:hint="eastAsia" w:ascii="宋体" w:hAnsi="宋体" w:eastAsia="宋体" w:cs="宋体"/>
              <w:szCs w:val="24"/>
            </w:rPr>
            <w:fldChar w:fldCharType="end"/>
          </w:r>
        </w:p>
        <w:p w14:paraId="7931B30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_Toc7429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_Toc7429 \h </w:instrText>
          </w:r>
          <w:r>
            <w:fldChar w:fldCharType="separate"/>
          </w:r>
          <w:r>
            <w:t>4</w:t>
          </w:r>
          <w:r>
            <w:fldChar w:fldCharType="end"/>
          </w:r>
          <w:r>
            <w:rPr>
              <w:rFonts w:hint="eastAsia" w:ascii="宋体" w:hAnsi="宋体" w:eastAsia="宋体" w:cs="宋体"/>
              <w:szCs w:val="24"/>
            </w:rPr>
            <w:fldChar w:fldCharType="end"/>
          </w:r>
        </w:p>
        <w:p w14:paraId="00789F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_Toc24036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基本原则</w:t>
          </w:r>
          <w:r>
            <w:tab/>
          </w:r>
          <w:r>
            <w:fldChar w:fldCharType="begin"/>
          </w:r>
          <w:r>
            <w:instrText xml:space="preserve"> PAGEREF _Toc24036 \h </w:instrText>
          </w:r>
          <w:r>
            <w:fldChar w:fldCharType="separate"/>
          </w:r>
          <w:r>
            <w:t>4</w:t>
          </w:r>
          <w:r>
            <w:fldChar w:fldCharType="end"/>
          </w:r>
          <w:r>
            <w:rPr>
              <w:rFonts w:hint="eastAsia" w:ascii="宋体" w:hAnsi="宋体" w:eastAsia="宋体" w:cs="宋体"/>
              <w:szCs w:val="24"/>
            </w:rPr>
            <w:fldChar w:fldCharType="end"/>
          </w:r>
        </w:p>
        <w:p w14:paraId="638E22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_Toc6495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管理职责</w:t>
          </w:r>
          <w:r>
            <w:tab/>
          </w:r>
          <w:r>
            <w:fldChar w:fldCharType="begin"/>
          </w:r>
          <w:r>
            <w:instrText xml:space="preserve"> PAGEREF _Toc6495 \h </w:instrText>
          </w:r>
          <w:r>
            <w:fldChar w:fldCharType="separate"/>
          </w:r>
          <w:r>
            <w:t>4</w:t>
          </w:r>
          <w:r>
            <w:fldChar w:fldCharType="end"/>
          </w:r>
          <w:r>
            <w:rPr>
              <w:rFonts w:hint="eastAsia" w:ascii="宋体" w:hAnsi="宋体" w:eastAsia="宋体" w:cs="宋体"/>
              <w:szCs w:val="24"/>
            </w:rPr>
            <w:fldChar w:fldCharType="end"/>
          </w:r>
        </w:p>
        <w:p w14:paraId="67AD1AF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_Toc2902 </w:instrText>
          </w:r>
          <w:r>
            <w:rPr>
              <w:rFonts w:hint="eastAsia" w:ascii="宋体" w:hAnsi="宋体" w:eastAsia="宋体" w:cs="宋体"/>
              <w:szCs w:val="24"/>
            </w:rPr>
            <w:fldChar w:fldCharType="separate"/>
          </w:r>
          <w:r>
            <w:rPr>
              <w:rFonts w:hint="default"/>
              <w:lang w:val="en-US" w:eastAsia="zh-CN"/>
            </w:rPr>
            <w:t>1.4.1. 人力资源部</w:t>
          </w:r>
          <w:r>
            <w:tab/>
          </w:r>
          <w:r>
            <w:fldChar w:fldCharType="begin"/>
          </w:r>
          <w:r>
            <w:instrText xml:space="preserve"> PAGEREF _Toc2902 \h </w:instrText>
          </w:r>
          <w:r>
            <w:fldChar w:fldCharType="separate"/>
          </w:r>
          <w:r>
            <w:t>5</w:t>
          </w:r>
          <w:r>
            <w:fldChar w:fldCharType="end"/>
          </w:r>
          <w:r>
            <w:rPr>
              <w:rFonts w:hint="eastAsia" w:ascii="宋体" w:hAnsi="宋体" w:eastAsia="宋体" w:cs="宋体"/>
              <w:szCs w:val="24"/>
            </w:rPr>
            <w:fldChar w:fldCharType="end"/>
          </w:r>
        </w:p>
        <w:p w14:paraId="52F26E9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_Toc11305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其他运维部门</w:t>
          </w:r>
          <w:r>
            <w:tab/>
          </w:r>
          <w:r>
            <w:fldChar w:fldCharType="begin"/>
          </w:r>
          <w:r>
            <w:instrText xml:space="preserve"> PAGEREF _Toc11305 \h </w:instrText>
          </w:r>
          <w:r>
            <w:fldChar w:fldCharType="separate"/>
          </w:r>
          <w:r>
            <w:t>5</w:t>
          </w:r>
          <w:r>
            <w:fldChar w:fldCharType="end"/>
          </w:r>
          <w:r>
            <w:rPr>
              <w:rFonts w:hint="eastAsia" w:ascii="宋体" w:hAnsi="宋体" w:eastAsia="宋体" w:cs="宋体"/>
              <w:szCs w:val="24"/>
            </w:rPr>
            <w:fldChar w:fldCharType="end"/>
          </w:r>
        </w:p>
        <w:p w14:paraId="522BA57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_Toc31162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管理者代表</w:t>
          </w:r>
          <w:r>
            <w:tab/>
          </w:r>
          <w:r>
            <w:fldChar w:fldCharType="begin"/>
          </w:r>
          <w:r>
            <w:instrText xml:space="preserve"> PAGEREF _Toc31162 \h </w:instrText>
          </w:r>
          <w:r>
            <w:fldChar w:fldCharType="separate"/>
          </w:r>
          <w:r>
            <w:t>5</w:t>
          </w:r>
          <w:r>
            <w:fldChar w:fldCharType="end"/>
          </w:r>
          <w:r>
            <w:rPr>
              <w:rFonts w:hint="eastAsia" w:ascii="宋体" w:hAnsi="宋体" w:eastAsia="宋体" w:cs="宋体"/>
              <w:szCs w:val="24"/>
            </w:rPr>
            <w:fldChar w:fldCharType="end"/>
          </w:r>
        </w:p>
        <w:p w14:paraId="67BE34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_Toc1112 </w:instrText>
          </w:r>
          <w:r>
            <w:rPr>
              <w:rFonts w:hint="eastAsia" w:ascii="宋体" w:hAnsi="宋体" w:eastAsia="宋体" w:cs="宋体"/>
              <w:szCs w:val="24"/>
            </w:rPr>
            <w:fldChar w:fldCharType="separate"/>
          </w:r>
          <w:r>
            <w:rPr>
              <w:rFonts w:hint="default"/>
              <w:lang w:val="en-US" w:eastAsia="zh-CN"/>
            </w:rPr>
            <w:t>1.4.4. 员工个人</w:t>
          </w:r>
          <w:r>
            <w:tab/>
          </w:r>
          <w:r>
            <w:fldChar w:fldCharType="begin"/>
          </w:r>
          <w:r>
            <w:instrText xml:space="preserve"> PAGEREF _Toc1112 \h </w:instrText>
          </w:r>
          <w:r>
            <w:fldChar w:fldCharType="separate"/>
          </w:r>
          <w:r>
            <w:t>5</w:t>
          </w:r>
          <w:r>
            <w:fldChar w:fldCharType="end"/>
          </w:r>
          <w:r>
            <w:rPr>
              <w:rFonts w:hint="eastAsia" w:ascii="宋体" w:hAnsi="宋体" w:eastAsia="宋体" w:cs="宋体"/>
              <w:szCs w:val="24"/>
            </w:rPr>
            <w:fldChar w:fldCharType="end"/>
          </w:r>
        </w:p>
        <w:p w14:paraId="6FFAD9B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_Toc16443 </w:instrText>
          </w:r>
          <w:r>
            <w:rPr>
              <w:rFonts w:hint="eastAsia" w:ascii="宋体" w:hAnsi="宋体" w:eastAsia="宋体" w:cs="宋体"/>
              <w:szCs w:val="24"/>
            </w:rPr>
            <w:fldChar w:fldCharType="separate"/>
          </w:r>
          <w:r>
            <w:rPr>
              <w:rFonts w:hint="default"/>
              <w:lang w:val="en-US" w:eastAsia="zh-CN"/>
            </w:rPr>
            <w:t>2. 人员储备</w:t>
          </w:r>
          <w:r>
            <w:rPr>
              <w:rFonts w:hint="eastAsia"/>
              <w:lang w:val="en-US" w:eastAsia="zh-CN"/>
            </w:rPr>
            <w:t>计划</w:t>
          </w:r>
          <w:r>
            <w:tab/>
          </w:r>
          <w:r>
            <w:fldChar w:fldCharType="begin"/>
          </w:r>
          <w:r>
            <w:instrText xml:space="preserve"> PAGEREF _Toc16443 \h </w:instrText>
          </w:r>
          <w:r>
            <w:fldChar w:fldCharType="separate"/>
          </w:r>
          <w:r>
            <w:t>5</w:t>
          </w:r>
          <w:r>
            <w:fldChar w:fldCharType="end"/>
          </w:r>
          <w:r>
            <w:rPr>
              <w:rFonts w:hint="eastAsia" w:ascii="宋体" w:hAnsi="宋体" w:eastAsia="宋体" w:cs="宋体"/>
              <w:szCs w:val="24"/>
            </w:rPr>
            <w:fldChar w:fldCharType="end"/>
          </w:r>
        </w:p>
        <w:p w14:paraId="32CE040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_Toc6225 </w:instrText>
          </w:r>
          <w:r>
            <w:rPr>
              <w:rFonts w:hint="eastAsia" w:ascii="宋体" w:hAnsi="宋体" w:eastAsia="宋体" w:cs="宋体"/>
              <w:szCs w:val="24"/>
            </w:rPr>
            <w:fldChar w:fldCharType="separate"/>
          </w:r>
          <w:r>
            <w:rPr>
              <w:rFonts w:hint="default"/>
              <w:lang w:val="en-US" w:eastAsia="zh-CN"/>
            </w:rPr>
            <w:t>2.1. 储备岗位识别</w:t>
          </w:r>
          <w:r>
            <w:tab/>
          </w:r>
          <w:r>
            <w:fldChar w:fldCharType="begin"/>
          </w:r>
          <w:r>
            <w:instrText xml:space="preserve"> PAGEREF _Toc6225 \h </w:instrText>
          </w:r>
          <w:r>
            <w:fldChar w:fldCharType="separate"/>
          </w:r>
          <w:r>
            <w:t>6</w:t>
          </w:r>
          <w:r>
            <w:fldChar w:fldCharType="end"/>
          </w:r>
          <w:r>
            <w:rPr>
              <w:rFonts w:hint="eastAsia" w:ascii="宋体" w:hAnsi="宋体" w:eastAsia="宋体" w:cs="宋体"/>
              <w:szCs w:val="24"/>
            </w:rPr>
            <w:fldChar w:fldCharType="end"/>
          </w:r>
        </w:p>
        <w:p w14:paraId="4A347E9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_Toc20481 </w:instrText>
          </w:r>
          <w:r>
            <w:rPr>
              <w:rFonts w:hint="eastAsia" w:ascii="宋体" w:hAnsi="宋体" w:eastAsia="宋体" w:cs="宋体"/>
              <w:szCs w:val="24"/>
            </w:rPr>
            <w:fldChar w:fldCharType="separate"/>
          </w:r>
          <w:r>
            <w:rPr>
              <w:rFonts w:hint="default"/>
              <w:lang w:val="en-US" w:eastAsia="zh-CN"/>
            </w:rPr>
            <w:t>2.2. 储备人员选拔标准</w:t>
          </w:r>
          <w:r>
            <w:tab/>
          </w:r>
          <w:r>
            <w:fldChar w:fldCharType="begin"/>
          </w:r>
          <w:r>
            <w:instrText xml:space="preserve"> PAGEREF _Toc20481 \h </w:instrText>
          </w:r>
          <w:r>
            <w:fldChar w:fldCharType="separate"/>
          </w:r>
          <w:r>
            <w:t>6</w:t>
          </w:r>
          <w:r>
            <w:fldChar w:fldCharType="end"/>
          </w:r>
          <w:r>
            <w:rPr>
              <w:rFonts w:hint="eastAsia" w:ascii="宋体" w:hAnsi="宋体" w:eastAsia="宋体" w:cs="宋体"/>
              <w:szCs w:val="24"/>
            </w:rPr>
            <w:fldChar w:fldCharType="end"/>
          </w:r>
        </w:p>
        <w:p w14:paraId="20B0EE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_Toc32648 </w:instrText>
          </w:r>
          <w:r>
            <w:rPr>
              <w:rFonts w:hint="eastAsia" w:ascii="宋体" w:hAnsi="宋体" w:eastAsia="宋体" w:cs="宋体"/>
              <w:szCs w:val="24"/>
            </w:rPr>
            <w:fldChar w:fldCharType="separate"/>
          </w:r>
          <w:r>
            <w:rPr>
              <w:rFonts w:hint="default"/>
              <w:lang w:val="en-US" w:eastAsia="zh-CN"/>
            </w:rPr>
            <w:t>2.3. 储备计划制定</w:t>
          </w:r>
          <w:r>
            <w:tab/>
          </w:r>
          <w:r>
            <w:fldChar w:fldCharType="begin"/>
          </w:r>
          <w:r>
            <w:instrText xml:space="preserve"> PAGEREF _Toc32648 \h </w:instrText>
          </w:r>
          <w:r>
            <w:fldChar w:fldCharType="separate"/>
          </w:r>
          <w:r>
            <w:t>7</w:t>
          </w:r>
          <w:r>
            <w:fldChar w:fldCharType="end"/>
          </w:r>
          <w:r>
            <w:rPr>
              <w:rFonts w:hint="eastAsia" w:ascii="宋体" w:hAnsi="宋体" w:eastAsia="宋体" w:cs="宋体"/>
              <w:szCs w:val="24"/>
            </w:rPr>
            <w:fldChar w:fldCharType="end"/>
          </w:r>
        </w:p>
        <w:p w14:paraId="7E6DB5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_Toc27100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人员招聘计划</w:t>
          </w:r>
          <w:r>
            <w:tab/>
          </w:r>
          <w:r>
            <w:fldChar w:fldCharType="begin"/>
          </w:r>
          <w:r>
            <w:instrText xml:space="preserve"> PAGEREF _Toc27100 \h </w:instrText>
          </w:r>
          <w:r>
            <w:fldChar w:fldCharType="separate"/>
          </w:r>
          <w:r>
            <w:t>7</w:t>
          </w:r>
          <w:r>
            <w:fldChar w:fldCharType="end"/>
          </w:r>
          <w:r>
            <w:rPr>
              <w:rFonts w:hint="eastAsia" w:ascii="宋体" w:hAnsi="宋体" w:eastAsia="宋体" w:cs="宋体"/>
              <w:szCs w:val="24"/>
            </w:rPr>
            <w:fldChar w:fldCharType="end"/>
          </w:r>
        </w:p>
        <w:p w14:paraId="06C4AB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人员备份计划</w:t>
          </w:r>
          <w:r>
            <w:tab/>
          </w:r>
          <w:r>
            <w:fldChar w:fldCharType="begin"/>
          </w:r>
          <w:r>
            <w:instrText xml:space="preserve"> PAGEREF _Toc2580 \h </w:instrText>
          </w:r>
          <w:r>
            <w:fldChar w:fldCharType="separate"/>
          </w:r>
          <w:r>
            <w:t>7</w:t>
          </w:r>
          <w:r>
            <w:fldChar w:fldCharType="end"/>
          </w:r>
          <w:r>
            <w:rPr>
              <w:rFonts w:hint="eastAsia" w:ascii="宋体" w:hAnsi="宋体" w:eastAsia="宋体" w:cs="宋体"/>
              <w:szCs w:val="24"/>
            </w:rPr>
            <w:fldChar w:fldCharType="end"/>
          </w:r>
        </w:p>
        <w:p w14:paraId="1E18C7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_Toc28164 </w:instrText>
          </w:r>
          <w:r>
            <w:rPr>
              <w:rFonts w:hint="eastAsia" w:ascii="宋体" w:hAnsi="宋体" w:eastAsia="宋体" w:cs="宋体"/>
              <w:szCs w:val="24"/>
            </w:rPr>
            <w:fldChar w:fldCharType="separate"/>
          </w:r>
          <w:r>
            <w:rPr>
              <w:rFonts w:hint="default"/>
              <w:lang w:val="en-US" w:eastAsia="zh-CN"/>
            </w:rPr>
            <w:t>5. 人员培训</w:t>
          </w:r>
          <w:r>
            <w:rPr>
              <w:rFonts w:hint="eastAsia"/>
              <w:lang w:val="en-US" w:eastAsia="zh-CN"/>
            </w:rPr>
            <w:t>计划</w:t>
          </w:r>
          <w:r>
            <w:tab/>
          </w:r>
          <w:r>
            <w:fldChar w:fldCharType="begin"/>
          </w:r>
          <w:r>
            <w:instrText xml:space="preserve"> PAGEREF _Toc28164 \h </w:instrText>
          </w:r>
          <w:r>
            <w:fldChar w:fldCharType="separate"/>
          </w:r>
          <w:r>
            <w:t>8</w:t>
          </w:r>
          <w:r>
            <w:fldChar w:fldCharType="end"/>
          </w:r>
          <w:r>
            <w:rPr>
              <w:rFonts w:hint="eastAsia" w:ascii="宋体" w:hAnsi="宋体" w:eastAsia="宋体" w:cs="宋体"/>
              <w:szCs w:val="24"/>
            </w:rPr>
            <w:fldChar w:fldCharType="end"/>
          </w:r>
        </w:p>
        <w:p w14:paraId="5C9FA8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_Toc3548 </w:instrText>
          </w:r>
          <w:r>
            <w:rPr>
              <w:rFonts w:hint="eastAsia" w:ascii="宋体" w:hAnsi="宋体" w:eastAsia="宋体" w:cs="宋体"/>
              <w:szCs w:val="24"/>
            </w:rPr>
            <w:fldChar w:fldCharType="separate"/>
          </w:r>
          <w:r>
            <w:rPr>
              <w:rFonts w:hint="default"/>
              <w:lang w:val="en-US" w:eastAsia="zh-CN"/>
            </w:rPr>
            <w:t>5.1. 培训计划制定与审批</w:t>
          </w:r>
          <w:r>
            <w:tab/>
          </w:r>
          <w:r>
            <w:fldChar w:fldCharType="begin"/>
          </w:r>
          <w:r>
            <w:instrText xml:space="preserve"> PAGEREF _Toc3548 \h </w:instrText>
          </w:r>
          <w:r>
            <w:fldChar w:fldCharType="separate"/>
          </w:r>
          <w:r>
            <w:t>8</w:t>
          </w:r>
          <w:r>
            <w:fldChar w:fldCharType="end"/>
          </w:r>
          <w:r>
            <w:rPr>
              <w:rFonts w:hint="eastAsia" w:ascii="宋体" w:hAnsi="宋体" w:eastAsia="宋体" w:cs="宋体"/>
              <w:szCs w:val="24"/>
            </w:rPr>
            <w:fldChar w:fldCharType="end"/>
          </w:r>
        </w:p>
        <w:p w14:paraId="3A8AC2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_Toc16138 </w:instrText>
          </w:r>
          <w:r>
            <w:rPr>
              <w:rFonts w:hint="eastAsia" w:ascii="宋体" w:hAnsi="宋体" w:eastAsia="宋体" w:cs="宋体"/>
              <w:szCs w:val="24"/>
            </w:rPr>
            <w:fldChar w:fldCharType="separate"/>
          </w:r>
          <w:r>
            <w:rPr>
              <w:rFonts w:hint="default"/>
              <w:lang w:val="en-US" w:eastAsia="zh-CN"/>
            </w:rPr>
            <w:t>5.2. 培训组织实施</w:t>
          </w:r>
          <w:r>
            <w:tab/>
          </w:r>
          <w:r>
            <w:fldChar w:fldCharType="begin"/>
          </w:r>
          <w:r>
            <w:instrText xml:space="preserve"> PAGEREF _Toc16138 \h </w:instrText>
          </w:r>
          <w:r>
            <w:fldChar w:fldCharType="separate"/>
          </w:r>
          <w:r>
            <w:t>8</w:t>
          </w:r>
          <w:r>
            <w:fldChar w:fldCharType="end"/>
          </w:r>
          <w:r>
            <w:rPr>
              <w:rFonts w:hint="eastAsia" w:ascii="宋体" w:hAnsi="宋体" w:eastAsia="宋体" w:cs="宋体"/>
              <w:szCs w:val="24"/>
            </w:rPr>
            <w:fldChar w:fldCharType="end"/>
          </w:r>
        </w:p>
        <w:p w14:paraId="02A33D6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_Toc24145 </w:instrText>
          </w:r>
          <w:r>
            <w:rPr>
              <w:rFonts w:hint="eastAsia" w:ascii="宋体" w:hAnsi="宋体" w:eastAsia="宋体" w:cs="宋体"/>
              <w:szCs w:val="24"/>
            </w:rPr>
            <w:fldChar w:fldCharType="separate"/>
          </w:r>
          <w:r>
            <w:rPr>
              <w:rFonts w:hint="default"/>
              <w:lang w:val="en-US" w:eastAsia="zh-CN"/>
            </w:rPr>
            <w:t>6. 人员绩效考核</w:t>
          </w:r>
          <w:r>
            <w:rPr>
              <w:rFonts w:hint="eastAsia"/>
              <w:lang w:val="en-US" w:eastAsia="zh-CN"/>
            </w:rPr>
            <w:t>计划</w:t>
          </w:r>
          <w:r>
            <w:tab/>
          </w:r>
          <w:r>
            <w:fldChar w:fldCharType="begin"/>
          </w:r>
          <w:r>
            <w:instrText xml:space="preserve"> PAGEREF _Toc24145 \h </w:instrText>
          </w:r>
          <w:r>
            <w:fldChar w:fldCharType="separate"/>
          </w:r>
          <w:r>
            <w:t>9</w:t>
          </w:r>
          <w:r>
            <w:fldChar w:fldCharType="end"/>
          </w:r>
          <w:r>
            <w:rPr>
              <w:rFonts w:hint="eastAsia" w:ascii="宋体" w:hAnsi="宋体" w:eastAsia="宋体" w:cs="宋体"/>
              <w:szCs w:val="24"/>
            </w:rPr>
            <w:fldChar w:fldCharType="end"/>
          </w:r>
        </w:p>
        <w:p w14:paraId="72C2AFA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_Toc31029 </w:instrText>
          </w:r>
          <w:r>
            <w:rPr>
              <w:rFonts w:hint="eastAsia" w:ascii="宋体" w:hAnsi="宋体" w:eastAsia="宋体" w:cs="宋体"/>
              <w:szCs w:val="24"/>
            </w:rPr>
            <w:fldChar w:fldCharType="separate"/>
          </w:r>
          <w:r>
            <w:rPr>
              <w:rFonts w:hint="default"/>
              <w:lang w:val="en-US" w:eastAsia="zh-CN"/>
            </w:rPr>
            <w:t>6.1. 考核周期设定</w:t>
          </w:r>
          <w:r>
            <w:tab/>
          </w:r>
          <w:r>
            <w:fldChar w:fldCharType="begin"/>
          </w:r>
          <w:r>
            <w:instrText xml:space="preserve"> PAGEREF _Toc31029 \h </w:instrText>
          </w:r>
          <w:r>
            <w:fldChar w:fldCharType="separate"/>
          </w:r>
          <w:r>
            <w:t>9</w:t>
          </w:r>
          <w:r>
            <w:fldChar w:fldCharType="end"/>
          </w:r>
          <w:r>
            <w:rPr>
              <w:rFonts w:hint="eastAsia" w:ascii="宋体" w:hAnsi="宋体" w:eastAsia="宋体" w:cs="宋体"/>
              <w:szCs w:val="24"/>
            </w:rPr>
            <w:fldChar w:fldCharType="end"/>
          </w:r>
        </w:p>
        <w:p w14:paraId="2CC42AD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_Toc19152 </w:instrText>
          </w:r>
          <w:r>
            <w:rPr>
              <w:rFonts w:hint="eastAsia" w:ascii="宋体" w:hAnsi="宋体" w:eastAsia="宋体" w:cs="宋体"/>
              <w:szCs w:val="24"/>
            </w:rPr>
            <w:fldChar w:fldCharType="separate"/>
          </w:r>
          <w:r>
            <w:rPr>
              <w:rFonts w:hint="default"/>
              <w:lang w:val="en-US" w:eastAsia="zh-CN"/>
            </w:rPr>
            <w:t xml:space="preserve">6.2. </w:t>
          </w:r>
          <w:r>
            <w:rPr>
              <w:rFonts w:hint="eastAsia"/>
              <w:lang w:val="en-US" w:eastAsia="zh-CN"/>
            </w:rPr>
            <w:t>考核指标要求</w:t>
          </w:r>
          <w:r>
            <w:tab/>
          </w:r>
          <w:r>
            <w:fldChar w:fldCharType="begin"/>
          </w:r>
          <w:r>
            <w:instrText xml:space="preserve"> PAGEREF _Toc19152 \h </w:instrText>
          </w:r>
          <w:r>
            <w:fldChar w:fldCharType="separate"/>
          </w:r>
          <w:r>
            <w:t>9</w:t>
          </w:r>
          <w:r>
            <w:fldChar w:fldCharType="end"/>
          </w:r>
          <w:r>
            <w:rPr>
              <w:rFonts w:hint="eastAsia" w:ascii="宋体" w:hAnsi="宋体" w:eastAsia="宋体" w:cs="宋体"/>
              <w:szCs w:val="24"/>
            </w:rPr>
            <w:fldChar w:fldCharType="end"/>
          </w:r>
        </w:p>
        <w:p w14:paraId="4C0066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_Toc2524 </w:instrText>
          </w:r>
          <w:r>
            <w:rPr>
              <w:rFonts w:hint="eastAsia" w:ascii="宋体" w:hAnsi="宋体" w:eastAsia="宋体" w:cs="宋体"/>
              <w:szCs w:val="24"/>
            </w:rPr>
            <w:fldChar w:fldCharType="separate"/>
          </w:r>
          <w:r>
            <w:rPr>
              <w:rFonts w:hint="default"/>
              <w:lang w:val="en-US" w:eastAsia="zh-CN"/>
            </w:rPr>
            <w:t>7. 人员技能评定</w:t>
          </w:r>
          <w:r>
            <w:rPr>
              <w:rFonts w:hint="eastAsia"/>
              <w:lang w:val="en-US" w:eastAsia="zh-CN"/>
            </w:rPr>
            <w:t>计划</w:t>
          </w:r>
          <w:r>
            <w:tab/>
          </w:r>
          <w:r>
            <w:fldChar w:fldCharType="begin"/>
          </w:r>
          <w:r>
            <w:instrText xml:space="preserve"> PAGEREF _Toc2524 \h </w:instrText>
          </w:r>
          <w:r>
            <w:fldChar w:fldCharType="separate"/>
          </w:r>
          <w:r>
            <w:t>9</w:t>
          </w:r>
          <w:r>
            <w:fldChar w:fldCharType="end"/>
          </w:r>
          <w:r>
            <w:rPr>
              <w:rFonts w:hint="eastAsia" w:ascii="宋体" w:hAnsi="宋体" w:eastAsia="宋体" w:cs="宋体"/>
              <w:szCs w:val="24"/>
            </w:rPr>
            <w:fldChar w:fldCharType="end"/>
          </w:r>
        </w:p>
        <w:p w14:paraId="28F64D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_Toc8470 </w:instrText>
          </w:r>
          <w:r>
            <w:rPr>
              <w:rFonts w:hint="eastAsia" w:ascii="宋体" w:hAnsi="宋体" w:eastAsia="宋体" w:cs="宋体"/>
              <w:szCs w:val="24"/>
            </w:rPr>
            <w:fldChar w:fldCharType="separate"/>
          </w:r>
          <w:r>
            <w:rPr>
              <w:rFonts w:hint="default"/>
              <w:lang w:val="en-US" w:eastAsia="zh-CN"/>
            </w:rPr>
            <w:t>7.1. 评定流程</w:t>
          </w:r>
          <w:r>
            <w:tab/>
          </w:r>
          <w:r>
            <w:fldChar w:fldCharType="begin"/>
          </w:r>
          <w:r>
            <w:instrText xml:space="preserve"> PAGEREF _Toc8470 \h </w:instrText>
          </w:r>
          <w:r>
            <w:fldChar w:fldCharType="separate"/>
          </w:r>
          <w:r>
            <w:t>9</w:t>
          </w:r>
          <w:r>
            <w:fldChar w:fldCharType="end"/>
          </w:r>
          <w:r>
            <w:rPr>
              <w:rFonts w:hint="eastAsia" w:ascii="宋体" w:hAnsi="宋体" w:eastAsia="宋体" w:cs="宋体"/>
              <w:szCs w:val="24"/>
            </w:rPr>
            <w:fldChar w:fldCharType="end"/>
          </w:r>
        </w:p>
        <w:p w14:paraId="0B80884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_Toc20092 </w:instrText>
          </w:r>
          <w:r>
            <w:rPr>
              <w:rFonts w:hint="eastAsia" w:ascii="宋体" w:hAnsi="宋体" w:eastAsia="宋体" w:cs="宋体"/>
              <w:szCs w:val="24"/>
            </w:rPr>
            <w:fldChar w:fldCharType="separate"/>
          </w:r>
          <w:r>
            <w:rPr>
              <w:rFonts w:hint="default"/>
              <w:lang w:val="en-US" w:eastAsia="zh-CN"/>
            </w:rPr>
            <w:t>7.2. 技能模型与等级标准</w:t>
          </w:r>
          <w:r>
            <w:tab/>
          </w:r>
          <w:r>
            <w:fldChar w:fldCharType="begin"/>
          </w:r>
          <w:r>
            <w:instrText xml:space="preserve"> PAGEREF _Toc20092 \h </w:instrText>
          </w:r>
          <w:r>
            <w:fldChar w:fldCharType="separate"/>
          </w:r>
          <w:r>
            <w:t>10</w:t>
          </w:r>
          <w:r>
            <w:fldChar w:fldCharType="end"/>
          </w:r>
          <w:r>
            <w:rPr>
              <w:rFonts w:hint="eastAsia" w:ascii="宋体" w:hAnsi="宋体" w:eastAsia="宋体" w:cs="宋体"/>
              <w:szCs w:val="24"/>
            </w:rPr>
            <w:fldChar w:fldCharType="end"/>
          </w:r>
        </w:p>
        <w:p w14:paraId="6B764BD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_Toc23673 </w:instrText>
          </w:r>
          <w:r>
            <w:rPr>
              <w:rFonts w:hint="eastAsia" w:ascii="宋体" w:hAnsi="宋体" w:eastAsia="宋体" w:cs="宋体"/>
              <w:szCs w:val="24"/>
            </w:rPr>
            <w:fldChar w:fldCharType="separate"/>
          </w:r>
          <w:r>
            <w:rPr>
              <w:rFonts w:hint="default"/>
              <w:lang w:val="en-US" w:eastAsia="zh-CN"/>
            </w:rPr>
            <w:t>7.3. 评定</w:t>
          </w:r>
          <w:r>
            <w:rPr>
              <w:rFonts w:hint="eastAsia"/>
              <w:lang w:val="en-US" w:eastAsia="zh-CN"/>
            </w:rPr>
            <w:t>实施</w:t>
          </w:r>
          <w:r>
            <w:tab/>
          </w:r>
          <w:r>
            <w:fldChar w:fldCharType="begin"/>
          </w:r>
          <w:r>
            <w:instrText xml:space="preserve"> PAGEREF _Toc23673 \h </w:instrText>
          </w:r>
          <w:r>
            <w:fldChar w:fldCharType="separate"/>
          </w:r>
          <w:r>
            <w:t>10</w:t>
          </w:r>
          <w:r>
            <w:fldChar w:fldCharType="end"/>
          </w:r>
          <w:r>
            <w:rPr>
              <w:rFonts w:hint="eastAsia" w:ascii="宋体" w:hAnsi="宋体" w:eastAsia="宋体" w:cs="宋体"/>
              <w:szCs w:val="24"/>
            </w:rPr>
            <w:fldChar w:fldCharType="end"/>
          </w:r>
        </w:p>
        <w:p w14:paraId="78811EA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AD65ED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088BD0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8068"/>
      <w:r>
        <w:rPr>
          <w:rFonts w:hint="eastAsia"/>
          <w:lang w:val="en-US" w:eastAsia="zh-CN"/>
        </w:rPr>
        <w:t>总则</w:t>
      </w:r>
      <w:bookmarkEnd w:id="2"/>
    </w:p>
    <w:p w14:paraId="47B95DF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3808"/>
      <w:r>
        <w:rPr>
          <w:rFonts w:hint="eastAsia"/>
          <w:lang w:val="en-US" w:eastAsia="zh-CN"/>
        </w:rPr>
        <w:t>管理目的</w:t>
      </w:r>
      <w:bookmarkEnd w:id="3"/>
    </w:p>
    <w:p w14:paraId="2DEDAB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为建立科学、规范、系统的人员管理体系，优化公司人力资源配置，提升员工专业技能与综合素质，保障公司各项业务，特别是软件运维服务及相关研发、质量、应急业务的稳定与持续发展，特制定本制度。</w:t>
      </w:r>
    </w:p>
    <w:p w14:paraId="2D8D8C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本制度旨在通过有效的人员招聘、储备、培训、备份、绩效与技能管理，打造一支结构合理、技能精湛、敬业高效的人才队伍，支撑公司战略目标的实现。</w:t>
      </w:r>
    </w:p>
    <w:p w14:paraId="08878A7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7429"/>
      <w:r>
        <w:rPr>
          <w:rFonts w:hint="eastAsia"/>
          <w:lang w:val="en-US" w:eastAsia="zh-CN"/>
        </w:rPr>
        <w:t>适用范围</w:t>
      </w:r>
      <w:bookmarkEnd w:id="4"/>
    </w:p>
    <w:p w14:paraId="71F20C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桐乡华数广电网络有限公司全体员工，包括与公司建立劳动关系的所有正式员工、试用期员工及公司认定的其他相关人员。本制度所涵盖的管理活动，包括但不限于人员的招聘、内部储备、培训发展、岗位备份（AB角）、绩效考核及技能评定等工作。</w:t>
      </w:r>
    </w:p>
    <w:p w14:paraId="18E6C33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24036"/>
      <w:r>
        <w:rPr>
          <w:rFonts w:hint="eastAsia"/>
          <w:lang w:val="en-US" w:eastAsia="zh-CN"/>
        </w:rPr>
        <w:t>基本原则</w:t>
      </w:r>
      <w:bookmarkEnd w:id="5"/>
    </w:p>
    <w:p w14:paraId="7F9945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战略导向原则：所有人员管理活动须紧密围绕公司经营战略与业务发展需要，服务于公司核心竞争力提升。</w:t>
      </w:r>
    </w:p>
    <w:p w14:paraId="0B41C0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合规性与公平性原则：严格遵守国家及地方相关法律法规，确保管理过程公开、公平、公正，保障员工合法权益。</w:t>
      </w:r>
    </w:p>
    <w:p w14:paraId="20A0CA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德才兼备与以德为先原则：在重视员工专业能力与业绩的同时，将职业道德、团队协作与企业文化认同作为重要的评价与选拔标准。</w:t>
      </w:r>
    </w:p>
    <w:p w14:paraId="67DC7E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培养与发展并重原则：强调通过系统性培训与职业发展规划，促进员工能力持续提升，实现员工个人成长与公司发展的统一。</w:t>
      </w:r>
    </w:p>
    <w:p w14:paraId="07B00E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动态管理与持续改进原则：人员管理策略与措施应根据公司内外部环境变化及执行反馈进行定期评估与优化。</w:t>
      </w:r>
    </w:p>
    <w:p w14:paraId="00A3161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6495"/>
      <w:r>
        <w:rPr>
          <w:rFonts w:hint="eastAsia"/>
          <w:lang w:val="en-US" w:eastAsia="zh-CN"/>
        </w:rPr>
        <w:t>管理职责</w:t>
      </w:r>
      <w:bookmarkEnd w:id="6"/>
    </w:p>
    <w:p w14:paraId="57D2620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902"/>
      <w:r>
        <w:rPr>
          <w:rFonts w:hint="default"/>
          <w:lang w:val="en-US" w:eastAsia="zh-CN"/>
        </w:rPr>
        <w:t>人力资源部</w:t>
      </w:r>
      <w:bookmarkEnd w:id="7"/>
    </w:p>
    <w:p w14:paraId="495866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作为人员管理的归口部门，负责本制度的制定、修订、解释与推动实施。具体职责包括：</w:t>
      </w:r>
    </w:p>
    <w:p w14:paraId="29E960A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统筹全公司招聘计划与活动；</w:t>
      </w:r>
    </w:p>
    <w:p w14:paraId="3F1A6BA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建立人才储备与培训体系；</w:t>
      </w:r>
    </w:p>
    <w:p w14:paraId="5B8DFD4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组织协调绩效考核与技能评定工作；</w:t>
      </w:r>
    </w:p>
    <w:p w14:paraId="31B5079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监督人员备份机制运行；</w:t>
      </w:r>
    </w:p>
    <w:p w14:paraId="011928A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管理相关人事档案与数据。</w:t>
      </w:r>
    </w:p>
    <w:p w14:paraId="7D2C4D5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1305"/>
      <w:r>
        <w:rPr>
          <w:rFonts w:hint="eastAsia"/>
          <w:lang w:val="en-US" w:eastAsia="zh-CN"/>
        </w:rPr>
        <w:t>其他运维部门</w:t>
      </w:r>
      <w:bookmarkEnd w:id="8"/>
    </w:p>
    <w:p w14:paraId="722861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作为人员管理的需求部门与执行主体，</w:t>
      </w:r>
      <w:r>
        <w:rPr>
          <w:rFonts w:hint="eastAsia"/>
          <w:lang w:val="en-US" w:eastAsia="zh-CN"/>
        </w:rPr>
        <w:t>具体职责包括</w:t>
      </w:r>
      <w:r>
        <w:rPr>
          <w:rFonts w:hint="default"/>
          <w:lang w:val="en-US" w:eastAsia="zh-CN"/>
        </w:rPr>
        <w:t>：</w:t>
      </w:r>
    </w:p>
    <w:p w14:paraId="11DBC91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负责根据业务发展提出具体的人员需求（招聘、储备、培训</w:t>
      </w:r>
      <w:r>
        <w:rPr>
          <w:rFonts w:hint="eastAsia"/>
          <w:lang w:val="en-US" w:eastAsia="zh-CN"/>
        </w:rPr>
        <w:t>、备份、绩效考核</w:t>
      </w:r>
      <w:r>
        <w:rPr>
          <w:rFonts w:hint="default"/>
          <w:lang w:val="en-US" w:eastAsia="zh-CN"/>
        </w:rPr>
        <w:t>等）；</w:t>
      </w:r>
    </w:p>
    <w:p w14:paraId="146AC6A4">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参与候选人的面试与评估；</w:t>
      </w:r>
    </w:p>
    <w:p w14:paraId="5FF29FA5">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组织实施部门内部培训、岗位技能传授与备份人员培养；</w:t>
      </w:r>
    </w:p>
    <w:p w14:paraId="2210598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负责本部门员工的日常绩效管理与反馈；配合完成公司组织的各项人员管理活动。</w:t>
      </w:r>
    </w:p>
    <w:p w14:paraId="2770BBC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1162"/>
      <w:r>
        <w:rPr>
          <w:rFonts w:hint="eastAsia"/>
          <w:lang w:val="en-US" w:eastAsia="zh-CN"/>
        </w:rPr>
        <w:t>管理者代表</w:t>
      </w:r>
      <w:bookmarkEnd w:id="9"/>
    </w:p>
    <w:p w14:paraId="35A7DB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负责审批公司整体人员规划、年度招聘与培训预算、关键岗位的任命以及重大的人力资源政策。为人员管理体系的建设与运行提供资源支持与方向指导。</w:t>
      </w:r>
    </w:p>
    <w:p w14:paraId="53A4077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112"/>
      <w:r>
        <w:rPr>
          <w:rFonts w:hint="default"/>
          <w:lang w:val="en-US" w:eastAsia="zh-CN"/>
        </w:rPr>
        <w:t>员工个人</w:t>
      </w:r>
      <w:bookmarkEnd w:id="10"/>
    </w:p>
    <w:p w14:paraId="4CBB9C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为积极完成人员管理管理，员工个人应积极完成以下工作：</w:t>
      </w:r>
    </w:p>
    <w:p w14:paraId="6203950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应积极参与公司组织的各项培训与发展活动，主动提升自身技能与绩效；</w:t>
      </w:r>
    </w:p>
    <w:p w14:paraId="7A44234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遵循岗位备份安排，确保知识共享与业务连续性；</w:t>
      </w:r>
    </w:p>
    <w:p w14:paraId="1E5FDBC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如实参与绩效考核与技能评定，并基于反馈进行改进。</w:t>
      </w:r>
    </w:p>
    <w:p w14:paraId="52902A0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8755"/>
      <w:bookmarkStart w:id="12" w:name="_Toc16443"/>
      <w:r>
        <w:rPr>
          <w:rFonts w:hint="default"/>
          <w:lang w:val="en-US" w:eastAsia="zh-CN"/>
        </w:rPr>
        <w:t>人员储备</w:t>
      </w:r>
      <w:r>
        <w:rPr>
          <w:rFonts w:hint="eastAsia"/>
          <w:lang w:val="en-US" w:eastAsia="zh-CN"/>
        </w:rPr>
        <w:t>计划</w:t>
      </w:r>
      <w:bookmarkEnd w:id="11"/>
      <w:bookmarkEnd w:id="12"/>
    </w:p>
    <w:p w14:paraId="252336F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6225"/>
      <w:bookmarkStart w:id="14" w:name="_Toc15545"/>
      <w:r>
        <w:rPr>
          <w:rFonts w:hint="default"/>
          <w:lang w:val="en-US" w:eastAsia="zh-CN"/>
        </w:rPr>
        <w:t>储备岗位识别</w:t>
      </w:r>
      <w:bookmarkEnd w:id="13"/>
      <w:bookmarkEnd w:id="14"/>
    </w:p>
    <w:p w14:paraId="2CAE221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储备岗位的识别主要依据以下三个维度：</w:t>
      </w:r>
    </w:p>
    <w:p w14:paraId="60A473AF">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业务影响度</w:t>
      </w:r>
    </w:p>
    <w:p w14:paraId="47C13EE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该岗位履职情况对公司核心运维、研发、质量或应急业务目标的达成具有直接、重大影响。</w:t>
      </w:r>
    </w:p>
    <w:p w14:paraId="50221CFA">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人才稀缺性</w:t>
      </w:r>
    </w:p>
    <w:p w14:paraId="38CC44C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该岗位所需技能在人才市场供给有限，或内部培养周期较长（通常超过6个月）。</w:t>
      </w:r>
    </w:p>
    <w:p w14:paraId="1773E4A8">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岗位稳定性风险</w:t>
      </w:r>
    </w:p>
    <w:p w14:paraId="2AFE0A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基于历史数据，该岗位属于人员流动相对频繁的关键岗位。</w:t>
      </w:r>
    </w:p>
    <w:p w14:paraId="51A88C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评审确定：人力资源部汇总清单，组织公司管理层进行评审，综合考虑公司战略、业务重点及资源投入，最终确定公司年度《关键岗位储备名录》及储备目标。</w:t>
      </w:r>
    </w:p>
    <w:p w14:paraId="1E76757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0481"/>
      <w:bookmarkStart w:id="16" w:name="_Toc18664"/>
      <w:r>
        <w:rPr>
          <w:rFonts w:hint="default"/>
          <w:lang w:val="en-US" w:eastAsia="zh-CN"/>
        </w:rPr>
        <w:t>储备人员选拔标准</w:t>
      </w:r>
      <w:bookmarkEnd w:id="15"/>
      <w:bookmarkEnd w:id="16"/>
    </w:p>
    <w:p w14:paraId="4428F9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储备人员的选拔遵循“德才兼备、潜力优先”的原则，具体标准如下：</w:t>
      </w:r>
    </w:p>
    <w:p w14:paraId="6D4B379D">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基本资格</w:t>
      </w:r>
    </w:p>
    <w:p w14:paraId="431F32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符合目标储备岗位说明书中列明的学历、专业、经验等基本任职要求。</w:t>
      </w:r>
    </w:p>
    <w:p w14:paraId="6E0EEFD5">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绩效表现</w:t>
      </w:r>
    </w:p>
    <w:p w14:paraId="024CB7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在过去一年的绩效考核中，结果达到“称职”或以上等级，且无重大工作失误。</w:t>
      </w:r>
    </w:p>
    <w:p w14:paraId="68B482E4">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能力与潜质</w:t>
      </w:r>
    </w:p>
    <w:p w14:paraId="324EB4B3">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学习能力：具备快速学习新知识、掌握新技能的意愿和能力。</w:t>
      </w:r>
    </w:p>
    <w:p w14:paraId="50CCB932">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解决问题能力：在工作中展现出独立分析问题和提出有效解决方案的能力。</w:t>
      </w:r>
    </w:p>
    <w:p w14:paraId="1B621054">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协作与沟通：具有良好的团队协作精神和一定的沟通影响力。</w:t>
      </w:r>
    </w:p>
    <w:p w14:paraId="78C63600">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文化认同与发展意愿</w:t>
      </w:r>
    </w:p>
    <w:p w14:paraId="49F43D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高度认同公司价值观，职业发展规划与公司方向一致，并表现出承担更大责任的强烈意愿。</w:t>
      </w:r>
    </w:p>
    <w:p w14:paraId="58B898F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32648"/>
      <w:bookmarkStart w:id="18" w:name="_Toc29849"/>
      <w:r>
        <w:rPr>
          <w:rFonts w:hint="default"/>
          <w:lang w:val="en-US" w:eastAsia="zh-CN"/>
        </w:rPr>
        <w:t>储备计划制定</w:t>
      </w:r>
      <w:bookmarkEnd w:id="17"/>
      <w:bookmarkEnd w:id="18"/>
    </w:p>
    <w:p w14:paraId="4D78D8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三项识别原则，识别出关键岗位为运维部经理、研发部经理、质量管理部经理。根据以上三个关键岗位，结合储备人员选拔标准，决定进行内部储备，制定如下的储备计划：</w:t>
      </w:r>
    </w:p>
    <w:tbl>
      <w:tblPr>
        <w:tblStyle w:val="21"/>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2957"/>
        <w:gridCol w:w="1511"/>
        <w:gridCol w:w="1511"/>
        <w:gridCol w:w="1511"/>
      </w:tblGrid>
      <w:tr w14:paraId="7DA9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030" w:type="dxa"/>
            <w:vAlign w:val="center"/>
          </w:tcPr>
          <w:p w14:paraId="4AF1DED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2957" w:type="dxa"/>
            <w:vAlign w:val="center"/>
          </w:tcPr>
          <w:p w14:paraId="189D4E4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11" w:type="dxa"/>
            <w:vAlign w:val="center"/>
          </w:tcPr>
          <w:p w14:paraId="6F986BE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储备人数</w:t>
            </w:r>
          </w:p>
        </w:tc>
        <w:tc>
          <w:tcPr>
            <w:tcW w:w="1511" w:type="dxa"/>
            <w:vAlign w:val="center"/>
          </w:tcPr>
          <w:p w14:paraId="1EFF110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储备来源</w:t>
            </w:r>
          </w:p>
        </w:tc>
        <w:tc>
          <w:tcPr>
            <w:tcW w:w="1511" w:type="dxa"/>
            <w:vAlign w:val="center"/>
          </w:tcPr>
          <w:p w14:paraId="492FAFB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51FAD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0AB78E58">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46F84EC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运维部经理</w:t>
            </w:r>
          </w:p>
        </w:tc>
        <w:tc>
          <w:tcPr>
            <w:tcW w:w="1511" w:type="dxa"/>
            <w:vAlign w:val="center"/>
          </w:tcPr>
          <w:p w14:paraId="1F38E88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2人</w:t>
            </w:r>
          </w:p>
        </w:tc>
        <w:tc>
          <w:tcPr>
            <w:tcW w:w="1511" w:type="dxa"/>
            <w:vAlign w:val="center"/>
          </w:tcPr>
          <w:p w14:paraId="50ED725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2B936C4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2025年3月</w:t>
            </w:r>
          </w:p>
        </w:tc>
      </w:tr>
      <w:tr w14:paraId="47DE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3422BF7E">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1E3AA93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研发部经理</w:t>
            </w:r>
          </w:p>
        </w:tc>
        <w:tc>
          <w:tcPr>
            <w:tcW w:w="1511" w:type="dxa"/>
            <w:vAlign w:val="center"/>
          </w:tcPr>
          <w:p w14:paraId="2EBD47F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4396C0F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2B8370C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2025年4月</w:t>
            </w:r>
          </w:p>
        </w:tc>
      </w:tr>
      <w:tr w14:paraId="1F5E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363568C1">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1D18BE0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质量管理部经理</w:t>
            </w:r>
          </w:p>
        </w:tc>
        <w:tc>
          <w:tcPr>
            <w:tcW w:w="1511" w:type="dxa"/>
            <w:vAlign w:val="center"/>
          </w:tcPr>
          <w:p w14:paraId="3A43F1C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437E02F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14:paraId="4DE8F5A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2025年7月</w:t>
            </w:r>
          </w:p>
        </w:tc>
      </w:tr>
    </w:tbl>
    <w:p w14:paraId="02A4788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7100"/>
      <w:r>
        <w:rPr>
          <w:rFonts w:hint="eastAsia"/>
          <w:lang w:val="en-US" w:eastAsia="zh-CN"/>
        </w:rPr>
        <w:t>人员招聘计划</w:t>
      </w:r>
      <w:bookmarkEnd w:id="19"/>
    </w:p>
    <w:p w14:paraId="6659A3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人力资源部汇总运维部和研发部提出的用人需求汇总，在5个岗位共需要招聘11人，情况如下：</w:t>
      </w:r>
    </w:p>
    <w:p w14:paraId="26DBEA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开发工程师1人</w:t>
      </w:r>
    </w:p>
    <w:p w14:paraId="359589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测试工程师1人</w:t>
      </w:r>
    </w:p>
    <w:p w14:paraId="77653B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服务台专员2人</w:t>
      </w:r>
    </w:p>
    <w:p w14:paraId="77EC9A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运维工程师6人</w:t>
      </w:r>
    </w:p>
    <w:p w14:paraId="7D6E98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服务知识专员1人</w:t>
      </w:r>
    </w:p>
    <w:p w14:paraId="0D83573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人力资源部整合各用人部门的岗位需求，根据需求时间与人数进行细化拆解，并据此制定招聘计划如下：</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6370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2FE8376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1825" w:type="dxa"/>
            <w:vAlign w:val="center"/>
          </w:tcPr>
          <w:p w14:paraId="4E21C79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需求部门</w:t>
            </w:r>
          </w:p>
        </w:tc>
        <w:tc>
          <w:tcPr>
            <w:tcW w:w="2134" w:type="dxa"/>
            <w:vAlign w:val="center"/>
          </w:tcPr>
          <w:p w14:paraId="1EFA772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20" w:type="dxa"/>
            <w:vAlign w:val="center"/>
          </w:tcPr>
          <w:p w14:paraId="6DAF2E5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招聘人数</w:t>
            </w:r>
          </w:p>
        </w:tc>
        <w:tc>
          <w:tcPr>
            <w:tcW w:w="2142" w:type="dxa"/>
            <w:vAlign w:val="center"/>
          </w:tcPr>
          <w:p w14:paraId="23DA52B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32A9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1C9DAFCE">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66E2A90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vAlign w:val="center"/>
          </w:tcPr>
          <w:p w14:paraId="09B06D5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76E01C9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32A8234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2025年2月</w:t>
            </w:r>
          </w:p>
        </w:tc>
      </w:tr>
      <w:tr w14:paraId="2E6F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CCEFC4A">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453E74B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研发部</w:t>
            </w:r>
          </w:p>
        </w:tc>
        <w:tc>
          <w:tcPr>
            <w:tcW w:w="2134" w:type="dxa"/>
            <w:vAlign w:val="center"/>
          </w:tcPr>
          <w:p w14:paraId="5A9B91F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355DBDF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4C1A63F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2025年3月</w:t>
            </w:r>
          </w:p>
        </w:tc>
      </w:tr>
      <w:tr w14:paraId="79B9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77206108">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5CFF40E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7D6D75C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6E53663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761DB1E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2025年4月</w:t>
            </w:r>
          </w:p>
        </w:tc>
      </w:tr>
      <w:tr w14:paraId="2746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CE2E254">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6D446AF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27F36D5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2EFB15F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3225107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2025年5月</w:t>
            </w:r>
          </w:p>
        </w:tc>
      </w:tr>
      <w:tr w14:paraId="1AAB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179DBB1A">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21C68A8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4034DFA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5E666C9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42BAA6E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2025年6月</w:t>
            </w:r>
          </w:p>
        </w:tc>
      </w:tr>
      <w:tr w14:paraId="23F4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8CBF41A">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4383649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研发部</w:t>
            </w:r>
          </w:p>
        </w:tc>
        <w:tc>
          <w:tcPr>
            <w:tcW w:w="2134" w:type="dxa"/>
            <w:shd w:val="clear" w:color="auto" w:fill="auto"/>
            <w:vAlign w:val="center"/>
          </w:tcPr>
          <w:p w14:paraId="185832B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731F005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3376E05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p>
        </w:tc>
      </w:tr>
      <w:tr w14:paraId="6A33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35A9BFC">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3614A6F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运维部</w:t>
            </w:r>
          </w:p>
        </w:tc>
        <w:tc>
          <w:tcPr>
            <w:tcW w:w="2134" w:type="dxa"/>
            <w:shd w:val="clear" w:color="auto" w:fill="auto"/>
            <w:vAlign w:val="center"/>
          </w:tcPr>
          <w:p w14:paraId="6BC2E58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0C8E197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6C5DE11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2025年7月</w:t>
            </w:r>
          </w:p>
        </w:tc>
      </w:tr>
      <w:tr w14:paraId="707B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65A5FF73">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280D0AE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2FB8A92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4CED312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53BB1A8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2025年8月</w:t>
            </w:r>
          </w:p>
        </w:tc>
      </w:tr>
    </w:tbl>
    <w:p w14:paraId="4CE6CE2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580"/>
      <w:r>
        <w:rPr>
          <w:rFonts w:hint="eastAsia"/>
          <w:lang w:val="en-US" w:eastAsia="zh-CN"/>
        </w:rPr>
        <w:t>人员备份计划</w:t>
      </w:r>
      <w:bookmarkEnd w:id="20"/>
    </w:p>
    <w:p w14:paraId="0A8E91A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由于运维部经理、运营项目经理、研发部经理、质量管理部经理对公司运维服务项目稳定性有重大影响，特进行备份，制定人员备份计划如下：</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287"/>
        <w:gridCol w:w="2616"/>
        <w:gridCol w:w="1307"/>
        <w:gridCol w:w="807"/>
        <w:gridCol w:w="858"/>
      </w:tblGrid>
      <w:tr w14:paraId="2183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AA8CF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B2A7F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备份岗位名称</w:t>
            </w:r>
          </w:p>
        </w:tc>
        <w:tc>
          <w:tcPr>
            <w:tcW w:w="12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B859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261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94155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3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C79E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2514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40A64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到岗时间</w:t>
            </w:r>
          </w:p>
        </w:tc>
      </w:tr>
      <w:tr w14:paraId="3BCE3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6119840">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F0760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2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0B91D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5361E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部门战略、服务交付、应急响应的总负责人。</w:t>
            </w:r>
          </w:p>
        </w:tc>
        <w:tc>
          <w:tcPr>
            <w:tcW w:w="13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0DF7D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20AD3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8F1CD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2025年2月</w:t>
            </w:r>
          </w:p>
        </w:tc>
      </w:tr>
      <w:tr w14:paraId="2A0F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84D03D5">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88EC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2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D3AD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3A7A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单个运维项目全生命周期管理、客户关系及SLA达成的第一责任人。</w:t>
            </w:r>
          </w:p>
        </w:tc>
        <w:tc>
          <w:tcPr>
            <w:tcW w:w="13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F89E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运维部经理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91EB4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8095C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2025年4月</w:t>
            </w:r>
          </w:p>
        </w:tc>
      </w:tr>
      <w:tr w14:paraId="6F62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26F531A">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D6C98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2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5A91D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557B6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研发战略、技术决策、架构治理及团队管理的负责人。</w:t>
            </w:r>
          </w:p>
        </w:tc>
        <w:tc>
          <w:tcPr>
            <w:tcW w:w="13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AC839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3A53D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7CD044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2025年5月</w:t>
            </w:r>
          </w:p>
        </w:tc>
      </w:tr>
      <w:tr w14:paraId="1362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4D66DABD">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2A7E4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质量管理部经理</w:t>
            </w:r>
          </w:p>
        </w:tc>
        <w:tc>
          <w:tcPr>
            <w:tcW w:w="12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9CE27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261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688CC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质量体系规划、内外部审核管理及重大质量事故处理的负责人。</w:t>
            </w:r>
          </w:p>
        </w:tc>
        <w:tc>
          <w:tcPr>
            <w:tcW w:w="13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956A9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3ABB3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649F03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2025年7月</w:t>
            </w:r>
          </w:p>
        </w:tc>
      </w:tr>
    </w:tbl>
    <w:p w14:paraId="57EC652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8164"/>
      <w:r>
        <w:rPr>
          <w:rFonts w:hint="default"/>
          <w:lang w:val="en-US" w:eastAsia="zh-CN"/>
        </w:rPr>
        <w:t>人员培训</w:t>
      </w:r>
      <w:r>
        <w:rPr>
          <w:rFonts w:hint="eastAsia"/>
          <w:lang w:val="en-US" w:eastAsia="zh-CN"/>
        </w:rPr>
        <w:t>计划</w:t>
      </w:r>
      <w:bookmarkEnd w:id="21"/>
    </w:p>
    <w:p w14:paraId="48DFE06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3548"/>
      <w:r>
        <w:rPr>
          <w:rFonts w:hint="default"/>
          <w:lang w:val="en-US" w:eastAsia="zh-CN"/>
        </w:rPr>
        <w:t>培训计划制定与审批</w:t>
      </w:r>
      <w:bookmarkEnd w:id="22"/>
    </w:p>
    <w:p w14:paraId="7DC358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制定：人力资源部基于确认的《年度培训需求分析报告》，结合培训预算，制定《年度培训计划》。计划应明确各项培训的目标、对象、内容、形式（如内训、外训、在线学习等）、时间、课时、预算及预期效果。</w:t>
      </w:r>
    </w:p>
    <w:p w14:paraId="7CB6CE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计划审批：《年度培训计划》需提报管理者代表审批。涉及重大预算或战略性的培训项目，需按公司规定报更高层级领导批准。计划批准后，由人力资源部发布并组织实施。</w:t>
      </w:r>
    </w:p>
    <w:p w14:paraId="69B212B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6138"/>
      <w:r>
        <w:rPr>
          <w:rFonts w:hint="default"/>
          <w:lang w:val="en-US" w:eastAsia="zh-CN"/>
        </w:rPr>
        <w:t>培训组织实施</w:t>
      </w:r>
      <w:bookmarkEnd w:id="23"/>
    </w:p>
    <w:p w14:paraId="5CE99E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根据人力资源部汇总各部门的培训需求，梳理成培训计划如下：</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6988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trPr>
        <w:tc>
          <w:tcPr>
            <w:tcW w:w="532" w:type="dxa"/>
            <w:shd w:val="clear" w:color="auto" w:fill="auto"/>
            <w:tcMar>
              <w:top w:w="120" w:type="dxa"/>
              <w:left w:w="0" w:type="dxa"/>
              <w:bottom w:w="120" w:type="dxa"/>
              <w:right w:w="192" w:type="dxa"/>
            </w:tcMar>
            <w:vAlign w:val="center"/>
          </w:tcPr>
          <w:p w14:paraId="1E7909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3E5F95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14:paraId="426814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rPr>
              <w:t>培训</w:t>
            </w:r>
            <w:r>
              <w:rPr>
                <w:rFonts w:hint="eastAsia" w:ascii="Segoe UI" w:hAnsi="Segoe UI" w:eastAsia="Segoe UI" w:cs="Segoe UI"/>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14:paraId="3A77C0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14:paraId="5AD2DA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14:paraId="2E766B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63FF36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eastAsia" w:ascii="Segoe UI" w:hAnsi="Segoe UI" w:eastAsia="Segoe UI" w:cs="Segoe UI"/>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14:paraId="1DC931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default" w:ascii="Segoe UI" w:hAnsi="Segoe UI" w:eastAsia="Segoe UI" w:cs="Segoe UI"/>
                <w:b/>
                <w:i w:val="0"/>
                <w:iCs w:val="0"/>
                <w:caps w:val="0"/>
                <w:snapToGrid w:val="0"/>
                <w:color w:val="000000"/>
                <w:spacing w:val="0"/>
                <w:kern w:val="0"/>
                <w:sz w:val="15"/>
                <w:szCs w:val="15"/>
                <w:lang w:val="en-US" w:eastAsia="zh-CN"/>
              </w:rPr>
              <w:t>费用预估</w:t>
            </w:r>
          </w:p>
          <w:p w14:paraId="0E26CE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rPr>
              <w:t>（元）</w:t>
            </w:r>
          </w:p>
        </w:tc>
      </w:tr>
      <w:tr w14:paraId="359DB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B33DE42">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615D1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14:paraId="580C31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7649C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4C8670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14:paraId="6F3744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吴夤</w:t>
            </w:r>
          </w:p>
        </w:tc>
        <w:tc>
          <w:tcPr>
            <w:tcW w:w="1204" w:type="dxa"/>
            <w:shd w:val="clear" w:color="auto" w:fill="auto"/>
            <w:tcMar>
              <w:top w:w="120" w:type="dxa"/>
              <w:left w:w="192" w:type="dxa"/>
              <w:bottom w:w="120" w:type="dxa"/>
              <w:right w:w="0" w:type="dxa"/>
            </w:tcMar>
            <w:vAlign w:val="center"/>
          </w:tcPr>
          <w:p w14:paraId="45B39E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14:paraId="62E991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713D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D6DF981">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5B570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14:paraId="179067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829A0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F7229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2025年1月</w:t>
            </w:r>
          </w:p>
        </w:tc>
        <w:tc>
          <w:tcPr>
            <w:tcW w:w="800" w:type="dxa"/>
            <w:shd w:val="clear" w:color="auto" w:fill="auto"/>
            <w:tcMar>
              <w:top w:w="120" w:type="dxa"/>
              <w:left w:w="192" w:type="dxa"/>
              <w:bottom w:w="120" w:type="dxa"/>
              <w:right w:w="0" w:type="dxa"/>
            </w:tcMar>
            <w:vAlign w:val="center"/>
          </w:tcPr>
          <w:p w14:paraId="6072D1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吴夤</w:t>
            </w:r>
          </w:p>
        </w:tc>
        <w:tc>
          <w:tcPr>
            <w:tcW w:w="1204" w:type="dxa"/>
            <w:shd w:val="clear" w:color="auto" w:fill="auto"/>
            <w:tcMar>
              <w:top w:w="120" w:type="dxa"/>
              <w:left w:w="192" w:type="dxa"/>
              <w:bottom w:w="120" w:type="dxa"/>
              <w:right w:w="0" w:type="dxa"/>
            </w:tcMar>
            <w:vAlign w:val="center"/>
          </w:tcPr>
          <w:p w14:paraId="131967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C3135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4E18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408F3F9">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60CF5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14:paraId="48F271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33874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064F91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14:paraId="659B19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35084A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9FE1C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0CB6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B23AF07">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2B64B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14:paraId="68C9F5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A0538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170D0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14:paraId="05F83B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474503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44331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0964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9E53E0D">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951070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工单</w:t>
            </w:r>
            <w:r>
              <w:rPr>
                <w:rFonts w:hint="default" w:ascii="Segoe UI" w:hAnsi="Segoe UI" w:eastAsia="Segoe UI" w:cs="Segoe UI"/>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14:paraId="2E21D5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6144C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4E4125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14:paraId="48884F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39063E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5600FF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5130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825D491">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03009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14:paraId="3E3255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6DBFEF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6B2DB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14:paraId="6F865B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3CB893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81151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5344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500CF15">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14:paraId="191309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14:paraId="2B9E2C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0C8BAB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3812D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2025年5月</w:t>
            </w:r>
          </w:p>
        </w:tc>
        <w:tc>
          <w:tcPr>
            <w:tcW w:w="800" w:type="dxa"/>
            <w:shd w:val="clear" w:color="auto" w:fill="auto"/>
            <w:tcMar>
              <w:top w:w="120" w:type="dxa"/>
              <w:left w:w="192" w:type="dxa"/>
              <w:bottom w:w="120" w:type="dxa"/>
              <w:right w:w="0" w:type="dxa"/>
            </w:tcMar>
            <w:vAlign w:val="center"/>
          </w:tcPr>
          <w:p w14:paraId="618B75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4B4D57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26B41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149E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80D0104">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12E1B1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14:paraId="67A5E6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CF6CA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237905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14:paraId="307A71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吴桀</w:t>
            </w:r>
          </w:p>
        </w:tc>
        <w:tc>
          <w:tcPr>
            <w:tcW w:w="1204" w:type="dxa"/>
            <w:shd w:val="clear" w:color="auto" w:fill="auto"/>
            <w:tcMar>
              <w:top w:w="120" w:type="dxa"/>
              <w:left w:w="192" w:type="dxa"/>
              <w:bottom w:w="120" w:type="dxa"/>
              <w:right w:w="0" w:type="dxa"/>
            </w:tcMar>
            <w:vAlign w:val="center"/>
          </w:tcPr>
          <w:p w14:paraId="29FCBA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3802F8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5,000</w:t>
            </w:r>
          </w:p>
        </w:tc>
      </w:tr>
      <w:tr w14:paraId="6C90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B454C85">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F67B9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14:paraId="603283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5ACE9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79128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14:paraId="18BB8E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3C196A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590791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0879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D3AC191">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27A65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14:paraId="22BCCA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54F85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B8996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14:paraId="7701DD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09CCC7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91F3F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292F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F7B4CE3">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6949A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14:paraId="46232D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14:paraId="1CC4D4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3A8DF4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14:paraId="0F88F6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04AA6D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3B6F618">
            <w:pPr>
              <w:keepNext w:val="0"/>
              <w:keepLines w:val="0"/>
              <w:pageBreakBefore w:val="0"/>
              <w:widowControl w:val="0"/>
              <w:suppressLineNumbers w:val="0"/>
              <w:tabs>
                <w:tab w:val="center" w:pos="528"/>
              </w:tabs>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302F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2233F16F">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6557D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14:paraId="646E42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0147B8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4CED01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14:paraId="5B3DA0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程方</w:t>
            </w:r>
          </w:p>
        </w:tc>
        <w:tc>
          <w:tcPr>
            <w:tcW w:w="1204" w:type="dxa"/>
            <w:shd w:val="clear" w:color="auto" w:fill="auto"/>
            <w:tcMar>
              <w:top w:w="120" w:type="dxa"/>
              <w:left w:w="192" w:type="dxa"/>
              <w:bottom w:w="120" w:type="dxa"/>
              <w:right w:w="0" w:type="dxa"/>
            </w:tcMar>
            <w:vAlign w:val="center"/>
          </w:tcPr>
          <w:p w14:paraId="70732D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70A2A9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1970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69F1B05">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79216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35D3A1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7C864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rPr>
              <w:t>内部</w:t>
            </w:r>
            <w:r>
              <w:rPr>
                <w:rFonts w:hint="eastAsia" w:ascii="Segoe UI" w:hAnsi="Segoe UI" w:eastAsia="Segoe UI" w:cs="Segoe UI"/>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14:paraId="0CADBE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14:paraId="7AC106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吴桀</w:t>
            </w:r>
          </w:p>
        </w:tc>
        <w:tc>
          <w:tcPr>
            <w:tcW w:w="1204" w:type="dxa"/>
            <w:shd w:val="clear" w:color="auto" w:fill="auto"/>
            <w:tcMar>
              <w:top w:w="120" w:type="dxa"/>
              <w:left w:w="192" w:type="dxa"/>
              <w:bottom w:w="120" w:type="dxa"/>
              <w:right w:w="0" w:type="dxa"/>
            </w:tcMar>
            <w:vAlign w:val="center"/>
          </w:tcPr>
          <w:p w14:paraId="6A45B2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286B2F2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bl>
    <w:p w14:paraId="681F2F8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4145"/>
      <w:r>
        <w:rPr>
          <w:rFonts w:hint="default"/>
          <w:lang w:val="en-US" w:eastAsia="zh-CN"/>
        </w:rPr>
        <w:t>人员绩效考核</w:t>
      </w:r>
      <w:r>
        <w:rPr>
          <w:rFonts w:hint="eastAsia"/>
          <w:lang w:val="en-US" w:eastAsia="zh-CN"/>
        </w:rPr>
        <w:t>计划</w:t>
      </w:r>
      <w:bookmarkEnd w:id="24"/>
    </w:p>
    <w:p w14:paraId="2B4AFDE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1029"/>
      <w:r>
        <w:rPr>
          <w:rFonts w:hint="default"/>
          <w:lang w:val="en-US" w:eastAsia="zh-CN"/>
        </w:rPr>
        <w:t>考核周期设定</w:t>
      </w:r>
      <w:bookmarkEnd w:id="25"/>
    </w:p>
    <w:p w14:paraId="272788C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季度考核：适用于所有正式员工，于每季度结束后开展，重点评估阶段性目标完成情况与过程表现。</w:t>
      </w:r>
    </w:p>
    <w:p w14:paraId="3F7D52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年度考核：于每年年末进行，综合当年四个季度的考核结果与年度综合能力行为评价，形成年度最终绩效等级。</w:t>
      </w:r>
    </w:p>
    <w:p w14:paraId="1B61DA1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9152"/>
      <w:r>
        <w:rPr>
          <w:rFonts w:hint="eastAsia"/>
          <w:lang w:val="en-US" w:eastAsia="zh-CN"/>
        </w:rPr>
        <w:t>考核指标要求</w:t>
      </w:r>
      <w:bookmarkEnd w:id="26"/>
    </w:p>
    <w:p w14:paraId="783D0B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人员绩效考核指标为季度绩效考核合格率，计算方式为绩效考核合格人数/绩效考核总人数*100%。目标值为≥90%。</w:t>
      </w:r>
    </w:p>
    <w:p w14:paraId="75232ED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524"/>
      <w:r>
        <w:rPr>
          <w:rFonts w:hint="default"/>
          <w:lang w:val="en-US" w:eastAsia="zh-CN"/>
        </w:rPr>
        <w:t>人员技能评定</w:t>
      </w:r>
      <w:r>
        <w:rPr>
          <w:rFonts w:hint="eastAsia"/>
          <w:lang w:val="en-US" w:eastAsia="zh-CN"/>
        </w:rPr>
        <w:t>计划</w:t>
      </w:r>
      <w:bookmarkEnd w:id="27"/>
    </w:p>
    <w:p w14:paraId="68CD867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8470"/>
      <w:r>
        <w:rPr>
          <w:rFonts w:hint="default"/>
          <w:lang w:val="en-US" w:eastAsia="zh-CN"/>
        </w:rPr>
        <w:t>评定流程</w:t>
      </w:r>
      <w:bookmarkEnd w:id="28"/>
    </w:p>
    <w:p w14:paraId="3B9B07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申请与推荐：员工根据自愿原则，对照标准进行自评，填写《技能等级晋升申请表》，并附具详实的业绩证明材料，经直接上级与部门负责人审核推荐。</w:t>
      </w:r>
    </w:p>
    <w:p w14:paraId="71F257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资格审查：人力资源部会同业务部门，对申请人的基本条件（如司龄、上年度绩效等级等）进行硬性审核，确保参评资格合规。</w:t>
      </w:r>
    </w:p>
    <w:p w14:paraId="62AAFE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综合评价：此为评定核心环节，由相对独立的“履历评审”与“能力答辩”两部分构成，从“做过什么”和“能做什么”两个维度进行全面考察。</w:t>
      </w:r>
    </w:p>
    <w:p w14:paraId="18D8FE7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审批与公示：拟定名单经管理层审批后，进行公示，确保程序公正透明。</w:t>
      </w:r>
    </w:p>
    <w:p w14:paraId="640776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应用生效：公示无异议后，新等级于次月正式生效，并启动后续的薪酬调整、档案更新等工作。</w:t>
      </w:r>
    </w:p>
    <w:p w14:paraId="1FBE7F4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0092"/>
      <w:r>
        <w:rPr>
          <w:rFonts w:hint="default"/>
          <w:lang w:val="en-US" w:eastAsia="zh-CN"/>
        </w:rPr>
        <w:t>技能模型与等级标准</w:t>
      </w:r>
      <w:bookmarkEnd w:id="2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19"/>
        <w:gridCol w:w="1750"/>
        <w:gridCol w:w="3094"/>
        <w:gridCol w:w="2735"/>
      </w:tblGrid>
      <w:tr w14:paraId="18CA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19" w:type="dxa"/>
            <w:shd w:val="clear" w:color="auto" w:fill="auto"/>
            <w:tcMar>
              <w:top w:w="120" w:type="dxa"/>
              <w:left w:w="0" w:type="dxa"/>
              <w:bottom w:w="120" w:type="dxa"/>
              <w:right w:w="192" w:type="dxa"/>
            </w:tcMar>
            <w:vAlign w:val="center"/>
          </w:tcPr>
          <w:p w14:paraId="3FD83E55">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等级</w:t>
            </w:r>
          </w:p>
        </w:tc>
        <w:tc>
          <w:tcPr>
            <w:tcW w:w="1750" w:type="dxa"/>
            <w:shd w:val="clear" w:color="auto" w:fill="auto"/>
            <w:tcMar>
              <w:top w:w="120" w:type="dxa"/>
              <w:left w:w="192" w:type="dxa"/>
              <w:bottom w:w="120" w:type="dxa"/>
              <w:right w:w="192" w:type="dxa"/>
            </w:tcMar>
            <w:vAlign w:val="center"/>
          </w:tcPr>
          <w:p w14:paraId="00485EC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通用核心定义</w:t>
            </w:r>
          </w:p>
        </w:tc>
        <w:tc>
          <w:tcPr>
            <w:tcW w:w="0" w:type="auto"/>
            <w:shd w:val="clear" w:color="auto" w:fill="auto"/>
            <w:tcMar>
              <w:top w:w="120" w:type="dxa"/>
              <w:left w:w="192" w:type="dxa"/>
              <w:bottom w:w="120" w:type="dxa"/>
              <w:right w:w="192" w:type="dxa"/>
            </w:tcMar>
            <w:vAlign w:val="center"/>
          </w:tcPr>
          <w:p w14:paraId="5C463D60">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技术运维序列（示例：运维工程师方向）</w:t>
            </w:r>
          </w:p>
        </w:tc>
        <w:tc>
          <w:tcPr>
            <w:tcW w:w="0" w:type="auto"/>
            <w:shd w:val="clear" w:color="auto" w:fill="auto"/>
            <w:tcMar>
              <w:top w:w="120" w:type="dxa"/>
              <w:left w:w="192" w:type="dxa"/>
              <w:bottom w:w="120" w:type="dxa"/>
              <w:right w:w="192" w:type="dxa"/>
            </w:tcMar>
            <w:vAlign w:val="center"/>
          </w:tcPr>
          <w:p w14:paraId="0DA44758">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质量管理序列（示例：质量专员方向）</w:t>
            </w:r>
          </w:p>
        </w:tc>
      </w:tr>
      <w:tr w14:paraId="2788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7D613977">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T1初级</w:t>
            </w:r>
          </w:p>
        </w:tc>
        <w:tc>
          <w:tcPr>
            <w:tcW w:w="1750" w:type="dxa"/>
            <w:shd w:val="clear" w:color="auto" w:fill="auto"/>
            <w:tcMar>
              <w:top w:w="120" w:type="dxa"/>
              <w:left w:w="192" w:type="dxa"/>
              <w:bottom w:w="120" w:type="dxa"/>
              <w:right w:w="192" w:type="dxa"/>
            </w:tcMar>
            <w:vAlign w:val="center"/>
          </w:tcPr>
          <w:p w14:paraId="076FB82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在指导下按规程工作。</w:t>
            </w:r>
          </w:p>
        </w:tc>
        <w:tc>
          <w:tcPr>
            <w:tcW w:w="0" w:type="auto"/>
            <w:shd w:val="clear" w:color="auto" w:fill="auto"/>
            <w:tcMar>
              <w:top w:w="120" w:type="dxa"/>
              <w:left w:w="192" w:type="dxa"/>
              <w:bottom w:w="120" w:type="dxa"/>
              <w:right w:w="192" w:type="dxa"/>
            </w:tcMar>
            <w:vAlign w:val="center"/>
          </w:tcPr>
          <w:p w14:paraId="2D59C6D8">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能执行标准监控、处理预设告警、完成基础数据备份与巡检。</w:t>
            </w:r>
          </w:p>
        </w:tc>
        <w:tc>
          <w:tcPr>
            <w:tcW w:w="0" w:type="auto"/>
            <w:shd w:val="clear" w:color="auto" w:fill="auto"/>
            <w:tcMar>
              <w:top w:w="120" w:type="dxa"/>
              <w:left w:w="192" w:type="dxa"/>
              <w:bottom w:w="120" w:type="dxa"/>
              <w:right w:w="0" w:type="dxa"/>
            </w:tcMar>
            <w:vAlign w:val="center"/>
          </w:tcPr>
          <w:p w14:paraId="58A38A52">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能按检查单执行过程审计、准确记录质量数据、管理基础文档。</w:t>
            </w:r>
          </w:p>
        </w:tc>
      </w:tr>
      <w:tr w14:paraId="4E0B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919" w:type="dxa"/>
            <w:shd w:val="clear" w:color="auto" w:fill="auto"/>
            <w:tcMar>
              <w:top w:w="120" w:type="dxa"/>
              <w:left w:w="0" w:type="dxa"/>
              <w:bottom w:w="120" w:type="dxa"/>
              <w:right w:w="192" w:type="dxa"/>
            </w:tcMar>
            <w:vAlign w:val="center"/>
          </w:tcPr>
          <w:p w14:paraId="7354C27A">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T2中级</w:t>
            </w:r>
          </w:p>
        </w:tc>
        <w:tc>
          <w:tcPr>
            <w:tcW w:w="1750" w:type="dxa"/>
            <w:shd w:val="clear" w:color="auto" w:fill="auto"/>
            <w:tcMar>
              <w:top w:w="120" w:type="dxa"/>
              <w:left w:w="192" w:type="dxa"/>
              <w:bottom w:w="120" w:type="dxa"/>
              <w:right w:w="192" w:type="dxa"/>
            </w:tcMar>
            <w:vAlign w:val="center"/>
          </w:tcPr>
          <w:p w14:paraId="19202E01">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独立负责模块工作，解决常见问题。</w:t>
            </w:r>
          </w:p>
        </w:tc>
        <w:tc>
          <w:tcPr>
            <w:tcW w:w="0" w:type="auto"/>
            <w:shd w:val="clear" w:color="auto" w:fill="auto"/>
            <w:tcMar>
              <w:top w:w="120" w:type="dxa"/>
              <w:left w:w="192" w:type="dxa"/>
              <w:bottom w:w="120" w:type="dxa"/>
              <w:right w:w="192" w:type="dxa"/>
            </w:tcMar>
            <w:vAlign w:val="center"/>
          </w:tcPr>
          <w:p w14:paraId="51202986">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能独立部署维护系统模块，分析解决常见故障，编写简单脚本提升效率。</w:t>
            </w:r>
          </w:p>
        </w:tc>
        <w:tc>
          <w:tcPr>
            <w:tcW w:w="0" w:type="auto"/>
            <w:shd w:val="clear" w:color="auto" w:fill="auto"/>
            <w:tcMar>
              <w:top w:w="120" w:type="dxa"/>
              <w:left w:w="192" w:type="dxa"/>
              <w:bottom w:w="120" w:type="dxa"/>
              <w:right w:w="0" w:type="dxa"/>
            </w:tcMar>
            <w:vAlign w:val="center"/>
          </w:tcPr>
          <w:p w14:paraId="075B5366">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能独立开展项目质量检查，分析一般不符合项，提出纠正措施。</w:t>
            </w:r>
          </w:p>
        </w:tc>
      </w:tr>
      <w:tr w14:paraId="5164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919" w:type="dxa"/>
            <w:shd w:val="clear" w:color="auto" w:fill="auto"/>
            <w:tcMar>
              <w:top w:w="120" w:type="dxa"/>
              <w:left w:w="0" w:type="dxa"/>
              <w:bottom w:w="120" w:type="dxa"/>
              <w:right w:w="192" w:type="dxa"/>
            </w:tcMar>
            <w:vAlign w:val="center"/>
          </w:tcPr>
          <w:p w14:paraId="7B603C59">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T3高级</w:t>
            </w:r>
          </w:p>
        </w:tc>
        <w:tc>
          <w:tcPr>
            <w:tcW w:w="1750" w:type="dxa"/>
            <w:shd w:val="clear" w:color="auto" w:fill="auto"/>
            <w:tcMar>
              <w:top w:w="120" w:type="dxa"/>
              <w:left w:w="192" w:type="dxa"/>
              <w:bottom w:w="120" w:type="dxa"/>
              <w:right w:w="192" w:type="dxa"/>
            </w:tcMar>
            <w:vAlign w:val="center"/>
          </w:tcPr>
          <w:p w14:paraId="66733D3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负责复杂任务/项目，能攻坚并指导他人。</w:t>
            </w:r>
          </w:p>
        </w:tc>
        <w:tc>
          <w:tcPr>
            <w:tcW w:w="0" w:type="auto"/>
            <w:shd w:val="clear" w:color="auto" w:fill="auto"/>
            <w:tcMar>
              <w:top w:w="120" w:type="dxa"/>
              <w:left w:w="192" w:type="dxa"/>
              <w:bottom w:w="120" w:type="dxa"/>
              <w:right w:w="192" w:type="dxa"/>
            </w:tcMar>
            <w:vAlign w:val="center"/>
          </w:tcPr>
          <w:p w14:paraId="7B4A5CB2">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能主导复杂故障根因分析与性能调优，设计实施自动化方案，承担项目技术主力。</w:t>
            </w:r>
          </w:p>
        </w:tc>
        <w:tc>
          <w:tcPr>
            <w:tcW w:w="0" w:type="auto"/>
            <w:shd w:val="clear" w:color="auto" w:fill="auto"/>
            <w:tcMar>
              <w:top w:w="120" w:type="dxa"/>
              <w:left w:w="192" w:type="dxa"/>
              <w:bottom w:w="120" w:type="dxa"/>
              <w:right w:w="0" w:type="dxa"/>
            </w:tcMar>
            <w:vAlign w:val="center"/>
          </w:tcPr>
          <w:p w14:paraId="1BAA0C6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能主导质量改进项目，设计关键控制点流程，协调处理客户质量投诉。</w:t>
            </w:r>
          </w:p>
        </w:tc>
      </w:tr>
      <w:tr w14:paraId="6742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7C3AEEF9">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T4专家</w:t>
            </w:r>
          </w:p>
        </w:tc>
        <w:tc>
          <w:tcPr>
            <w:tcW w:w="1750" w:type="dxa"/>
            <w:shd w:val="clear" w:color="auto" w:fill="auto"/>
            <w:tcMar>
              <w:top w:w="120" w:type="dxa"/>
              <w:left w:w="192" w:type="dxa"/>
              <w:bottom w:w="120" w:type="dxa"/>
              <w:right w:w="192" w:type="dxa"/>
            </w:tcMar>
            <w:vAlign w:val="center"/>
          </w:tcPr>
          <w:p w14:paraId="762C616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领域专家，主导关键技术方案，影响业务。</w:t>
            </w:r>
          </w:p>
        </w:tc>
        <w:tc>
          <w:tcPr>
            <w:tcW w:w="0" w:type="auto"/>
            <w:shd w:val="clear" w:color="auto" w:fill="auto"/>
            <w:tcMar>
              <w:top w:w="120" w:type="dxa"/>
              <w:left w:w="192" w:type="dxa"/>
              <w:bottom w:w="120" w:type="dxa"/>
              <w:right w:w="192" w:type="dxa"/>
            </w:tcMar>
            <w:vAlign w:val="center"/>
          </w:tcPr>
          <w:p w14:paraId="5B6F87D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能规划运维技术架构，解决系统性技术难题，主导研发核心运维工具平台。</w:t>
            </w:r>
          </w:p>
        </w:tc>
        <w:tc>
          <w:tcPr>
            <w:tcW w:w="0" w:type="auto"/>
            <w:shd w:val="clear" w:color="auto" w:fill="auto"/>
            <w:tcMar>
              <w:top w:w="120" w:type="dxa"/>
              <w:left w:w="192" w:type="dxa"/>
              <w:bottom w:w="120" w:type="dxa"/>
              <w:right w:w="0" w:type="dxa"/>
            </w:tcMar>
            <w:vAlign w:val="center"/>
          </w:tcPr>
          <w:p w14:paraId="5FA8D7C1">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能优化公司级质量/应急管理体系，主导重大风险预案制定与演练，赋能团队。</w:t>
            </w:r>
          </w:p>
        </w:tc>
      </w:tr>
      <w:tr w14:paraId="40FB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44DAACD0">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T5资深专家</w:t>
            </w:r>
          </w:p>
        </w:tc>
        <w:tc>
          <w:tcPr>
            <w:tcW w:w="1750" w:type="dxa"/>
            <w:shd w:val="clear" w:color="auto" w:fill="auto"/>
            <w:tcMar>
              <w:top w:w="120" w:type="dxa"/>
              <w:left w:w="192" w:type="dxa"/>
              <w:bottom w:w="120" w:type="dxa"/>
              <w:right w:w="192" w:type="dxa"/>
            </w:tcMar>
            <w:vAlign w:val="center"/>
          </w:tcPr>
          <w:p w14:paraId="1C71DEE2">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公司/行业权威，定义技术方向，解决战略难题。</w:t>
            </w:r>
          </w:p>
        </w:tc>
        <w:tc>
          <w:tcPr>
            <w:tcW w:w="0" w:type="auto"/>
            <w:shd w:val="clear" w:color="auto" w:fill="auto"/>
            <w:tcMar>
              <w:top w:w="120" w:type="dxa"/>
              <w:left w:w="192" w:type="dxa"/>
              <w:bottom w:w="120" w:type="dxa"/>
              <w:right w:w="192" w:type="dxa"/>
            </w:tcMar>
            <w:vAlign w:val="center"/>
          </w:tcPr>
          <w:p w14:paraId="28D049F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能定义公司运维技术战略，研究引入前沿技术，解决行业级难题，提升公司技术影响力。</w:t>
            </w:r>
          </w:p>
        </w:tc>
        <w:tc>
          <w:tcPr>
            <w:tcW w:w="0" w:type="auto"/>
            <w:shd w:val="clear" w:color="auto" w:fill="auto"/>
            <w:tcMar>
              <w:top w:w="120" w:type="dxa"/>
              <w:left w:w="192" w:type="dxa"/>
              <w:bottom w:w="120" w:type="dxa"/>
              <w:right w:w="0" w:type="dxa"/>
            </w:tcMar>
            <w:vAlign w:val="center"/>
          </w:tcPr>
          <w:p w14:paraId="1853862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能定义公司质量与风控战略，构建行业最佳实践，代表公司参与标准制定。</w:t>
            </w:r>
          </w:p>
        </w:tc>
      </w:tr>
    </w:tbl>
    <w:p w14:paraId="57EDED2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23673"/>
      <w:r>
        <w:rPr>
          <w:rFonts w:hint="default"/>
          <w:lang w:val="en-US" w:eastAsia="zh-CN"/>
        </w:rPr>
        <w:t>评定</w:t>
      </w:r>
      <w:r>
        <w:rPr>
          <w:rFonts w:hint="eastAsia"/>
          <w:lang w:val="en-US" w:eastAsia="zh-CN"/>
        </w:rPr>
        <w:t>实施</w:t>
      </w:r>
      <w:bookmarkEnd w:id="30"/>
    </w:p>
    <w:p w14:paraId="197CDB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常规集中评定：每年组织一次，计划于2025年</w:t>
      </w:r>
      <w:r>
        <w:rPr>
          <w:rFonts w:hint="eastAsia"/>
          <w:lang w:val="en-US" w:eastAsia="zh-CN"/>
        </w:rPr>
        <w:t>12月</w:t>
      </w:r>
      <w:r>
        <w:rPr>
          <w:rFonts w:hint="default"/>
          <w:lang w:val="en-US" w:eastAsia="zh-CN"/>
        </w:rPr>
        <w:t>启动并完成全部流程，确保评定结果可用于次年的薪酬调整与人才规划。</w:t>
      </w:r>
    </w:p>
    <w:p w14:paraId="4A38CB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破格评定通道：为鼓励卓越贡献，设置绿色通道。凡在技术创新、解决重大生产故障、获得重要客户表彰等方面有突出贡献者，可随时由部门提交破格评定申请，经公司管理层特批后启动快速评定程序，不受上述常规周期限制。</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8966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FC55FF5"/>
    <w:multiLevelType w:val="singleLevel"/>
    <w:tmpl w:val="BFC55FF5"/>
    <w:lvl w:ilvl="0" w:tentative="0">
      <w:start w:val="1"/>
      <w:numFmt w:val="decimal"/>
      <w:lvlText w:val="%1."/>
      <w:lvlJc w:val="left"/>
      <w:pPr>
        <w:ind w:left="425" w:hanging="425"/>
      </w:pPr>
      <w:rPr>
        <w:rFonts w:hint="default"/>
      </w:rPr>
    </w:lvl>
  </w:abstractNum>
  <w:abstractNum w:abstractNumId="2">
    <w:nsid w:val="EC7764DD"/>
    <w:multiLevelType w:val="singleLevel"/>
    <w:tmpl w:val="EC7764DD"/>
    <w:lvl w:ilvl="0" w:tentative="0">
      <w:start w:val="1"/>
      <w:numFmt w:val="decimal"/>
      <w:lvlText w:val="%1."/>
      <w:lvlJc w:val="left"/>
      <w:pPr>
        <w:ind w:left="425" w:hanging="425"/>
      </w:pPr>
      <w:rPr>
        <w:rFonts w:hint="default"/>
      </w:rPr>
    </w:lvl>
  </w:abstractNum>
  <w:abstractNum w:abstractNumId="3">
    <w:nsid w:val="0F92519D"/>
    <w:multiLevelType w:val="singleLevel"/>
    <w:tmpl w:val="0F92519D"/>
    <w:lvl w:ilvl="0" w:tentative="0">
      <w:start w:val="1"/>
      <w:numFmt w:val="decimal"/>
      <w:lvlText w:val="%1."/>
      <w:lvlJc w:val="left"/>
      <w:pPr>
        <w:ind w:left="425" w:hanging="425"/>
      </w:pPr>
      <w:rPr>
        <w:rFonts w:hint="default"/>
      </w:rPr>
    </w:lvl>
  </w:abstractNum>
  <w:abstractNum w:abstractNumId="4">
    <w:nsid w:val="3818ECCD"/>
    <w:multiLevelType w:val="singleLevel"/>
    <w:tmpl w:val="3818ECCD"/>
    <w:lvl w:ilvl="0" w:tentative="0">
      <w:start w:val="1"/>
      <w:numFmt w:val="decimal"/>
      <w:lvlText w:val="(%1)"/>
      <w:lvlJc w:val="left"/>
      <w:pPr>
        <w:tabs>
          <w:tab w:val="left" w:pos="420"/>
        </w:tabs>
        <w:ind w:left="845" w:hanging="425"/>
      </w:pPr>
      <w:rPr>
        <w:rFonts w:hint="default"/>
      </w:rPr>
    </w:lvl>
  </w:abstractNum>
  <w:abstractNum w:abstractNumId="5">
    <w:nsid w:val="38AAF248"/>
    <w:multiLevelType w:val="singleLevel"/>
    <w:tmpl w:val="38AAF248"/>
    <w:lvl w:ilvl="0" w:tentative="0">
      <w:start w:val="1"/>
      <w:numFmt w:val="decimal"/>
      <w:lvlText w:val="%1."/>
      <w:lvlJc w:val="left"/>
      <w:pPr>
        <w:ind w:left="425" w:hanging="425"/>
      </w:pPr>
      <w:rPr>
        <w:rFonts w:hint="default"/>
      </w:rPr>
    </w:lvl>
  </w:abstractNum>
  <w:abstractNum w:abstractNumId="6">
    <w:nsid w:val="52F5C425"/>
    <w:multiLevelType w:val="singleLevel"/>
    <w:tmpl w:val="52F5C425"/>
    <w:lvl w:ilvl="0" w:tentative="0">
      <w:start w:val="1"/>
      <w:numFmt w:val="decimal"/>
      <w:lvlText w:val="%1."/>
      <w:lvlJc w:val="left"/>
      <w:pPr>
        <w:ind w:left="425" w:hanging="425"/>
      </w:pPr>
      <w:rPr>
        <w:rFonts w:hint="default"/>
      </w:rPr>
    </w:lvl>
  </w:abstractNum>
  <w:abstractNum w:abstractNumId="7">
    <w:nsid w:val="5361D5D7"/>
    <w:multiLevelType w:val="singleLevel"/>
    <w:tmpl w:val="5361D5D7"/>
    <w:lvl w:ilvl="0" w:tentative="0">
      <w:start w:val="1"/>
      <w:numFmt w:val="decimal"/>
      <w:lvlText w:val="%1."/>
      <w:lvlJc w:val="left"/>
      <w:pPr>
        <w:ind w:left="425" w:hanging="425"/>
      </w:pPr>
      <w:rPr>
        <w:rFonts w:hint="default"/>
      </w:rPr>
    </w:lvl>
  </w:abstractNum>
  <w:abstractNum w:abstractNumId="8">
    <w:nsid w:val="5C6AE867"/>
    <w:multiLevelType w:val="singleLevel"/>
    <w:tmpl w:val="5C6AE867"/>
    <w:lvl w:ilvl="0" w:tentative="0">
      <w:start w:val="1"/>
      <w:numFmt w:val="decimal"/>
      <w:lvlText w:val="%1."/>
      <w:lvlJc w:val="left"/>
      <w:pPr>
        <w:ind w:left="425" w:hanging="425"/>
      </w:pPr>
      <w:rPr>
        <w:rFonts w:hint="default"/>
      </w:rPr>
    </w:lvl>
  </w:abstractNum>
  <w:abstractNum w:abstractNumId="9">
    <w:nsid w:val="60915A31"/>
    <w:multiLevelType w:val="singleLevel"/>
    <w:tmpl w:val="60915A31"/>
    <w:lvl w:ilvl="0" w:tentative="0">
      <w:start w:val="1"/>
      <w:numFmt w:val="decimal"/>
      <w:lvlText w:val="%1."/>
      <w:lvlJc w:val="left"/>
      <w:pPr>
        <w:ind w:left="425" w:hanging="425"/>
      </w:pPr>
      <w:rPr>
        <w:rFonts w:hint="default"/>
      </w:rPr>
    </w:lvl>
  </w:abstractNum>
  <w:abstractNum w:abstractNumId="10">
    <w:nsid w:val="7DB33DA3"/>
    <w:multiLevelType w:val="singleLevel"/>
    <w:tmpl w:val="7DB33DA3"/>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1"/>
  </w:num>
  <w:num w:numId="4">
    <w:abstractNumId w:val="8"/>
  </w:num>
  <w:num w:numId="5">
    <w:abstractNumId w:val="5"/>
  </w:num>
  <w:num w:numId="6">
    <w:abstractNumId w:val="10"/>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8A613E7"/>
    <w:rsid w:val="4A930753"/>
    <w:rsid w:val="4EF8210A"/>
    <w:rsid w:val="7C0E7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table" w:customStyle="1" w:styleId="43">
    <w:name w:val="Table Normal_2"/>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2381</Words>
  <Characters>2552</Characters>
  <Lines>0</Lines>
  <Paragraphs>0</Paragraphs>
  <TotalTime>2</TotalTime>
  <ScaleCrop>false</ScaleCrop>
  <LinksUpToDate>false</LinksUpToDate>
  <CharactersWithSpaces>2658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2026-04-24T17:32:05Z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