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C07E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02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9DE805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477"/>
      <w:r>
        <w:rPr>
          <w:rFonts w:hint="eastAsia"/>
          <w:lang w:val="en-US" w:eastAsia="zh-CN"/>
        </w:rPr>
        <w:t>过程框架管理制度</w:t>
      </w:r>
      <w:bookmarkEnd w:id="1"/>
    </w:p>
    <w:p w14:paraId="4D34A2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DF32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D0B2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D5A2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0DB36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A9A1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5D77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7" w:name="_GoBack"/>
            <w:bookmarkEnd w:id="27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412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6E537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EA367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FE3C4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17901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63F79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74B18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7DE3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63A64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D6D83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5F8CF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4251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61175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  <w:vAlign w:val="top"/>
          </w:tcPr>
          <w:p w14:paraId="7A5670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  <w:vAlign w:val="top"/>
          </w:tcPr>
          <w:p w14:paraId="3F4B9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  <w:vAlign w:val="top"/>
          </w:tcPr>
          <w:p w14:paraId="6ABC9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  <w:vAlign w:val="top"/>
          </w:tcPr>
          <w:p w14:paraId="34736A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  <w:vAlign w:val="top"/>
          </w:tcPr>
          <w:p w14:paraId="386E09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  <w:vAlign w:val="top"/>
          </w:tcPr>
          <w:p w14:paraId="770C45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E193F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79CF72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08E12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63BB88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0EEB4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44E3B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 w14:paraId="2F492C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</w:tr>
      <w:tr w14:paraId="63D597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82882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F9550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794D8D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AC49A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9A4B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B37B3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9DEFE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714D0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E3D05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2B96E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8333B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946CE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CD9F6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37563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DA7B18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CDC63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_Toc11026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EB7A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_Toc10477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8865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7EAB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B86C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EA00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框架原则</w:t>
          </w:r>
          <w:r>
            <w:tab/>
          </w:r>
          <w:r>
            <w:fldChar w:fldCharType="begin"/>
          </w:r>
          <w:r>
            <w:instrText xml:space="preserve"> PAGEREF _Toc29001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2342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过程框架构成</w:t>
          </w:r>
          <w:r>
            <w:tab/>
          </w:r>
          <w:r>
            <w:fldChar w:fldCharType="begin"/>
          </w:r>
          <w:r>
            <w:instrText xml:space="preserve"> PAGEREF _Toc16977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18F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过程框架总览</w:t>
          </w:r>
          <w:r>
            <w:tab/>
          </w:r>
          <w:r>
            <w:fldChar w:fldCharType="begin"/>
          </w:r>
          <w:r>
            <w:instrText xml:space="preserve"> PAGEREF _Toc17725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017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过程组及核心过程定义</w:t>
          </w:r>
          <w:r>
            <w:tab/>
          </w:r>
          <w:r>
            <w:fldChar w:fldCharType="begin"/>
          </w:r>
          <w:r>
            <w:instrText xml:space="preserve"> PAGEREF _Toc17885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CF0F2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战略与治理过程组</w:t>
          </w:r>
          <w:r>
            <w:tab/>
          </w:r>
          <w:r>
            <w:fldChar w:fldCharType="begin"/>
          </w:r>
          <w:r>
            <w:instrText xml:space="preserve"> PAGEREF _Toc9602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392D5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核心交付与运营过程组</w:t>
          </w:r>
          <w:r>
            <w:tab/>
          </w:r>
          <w:r>
            <w:fldChar w:fldCharType="begin"/>
          </w:r>
          <w:r>
            <w:instrText xml:space="preserve"> PAGEREF _Toc10486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F9A9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支持保障过程组</w:t>
          </w:r>
          <w:r>
            <w:tab/>
          </w:r>
          <w:r>
            <w:fldChar w:fldCharType="begin"/>
          </w:r>
          <w:r>
            <w:instrText xml:space="preserve"> PAGEREF _Toc8869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3EBF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测量与改进过程组</w:t>
          </w:r>
          <w:r>
            <w:tab/>
          </w:r>
          <w:r>
            <w:fldChar w:fldCharType="begin"/>
          </w:r>
          <w:r>
            <w:instrText xml:space="preserve"> PAGEREF _Toc10209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80E8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过程间关系与协同机制</w:t>
          </w:r>
          <w:r>
            <w:tab/>
          </w:r>
          <w:r>
            <w:fldChar w:fldCharType="begin"/>
          </w:r>
          <w:r>
            <w:instrText xml:space="preserve"> PAGEREF _Toc1538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589E1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关键过程交互关系</w:t>
          </w:r>
          <w:r>
            <w:tab/>
          </w:r>
          <w:r>
            <w:fldChar w:fldCharType="begin"/>
          </w:r>
          <w:r>
            <w:instrText xml:space="preserve"> PAGEREF _Toc5139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BB22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信息流与数据共享要求</w:t>
          </w:r>
          <w:r>
            <w:tab/>
          </w:r>
          <w:r>
            <w:fldChar w:fldCharType="begin"/>
          </w:r>
          <w:r>
            <w:instrText xml:space="preserve"> PAGEREF _Toc23217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BA0A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跨部门协同职责</w:t>
          </w:r>
          <w:r>
            <w:tab/>
          </w:r>
          <w:r>
            <w:fldChar w:fldCharType="begin"/>
          </w:r>
          <w:r>
            <w:instrText xml:space="preserve"> PAGEREF _Toc13780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B53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过程的治理与生命周期管理</w:t>
          </w:r>
          <w:r>
            <w:tab/>
          </w:r>
          <w:r>
            <w:fldChar w:fldCharType="begin"/>
          </w:r>
          <w:r>
            <w:instrText xml:space="preserve"> PAGEREF _Toc21289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A0B1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过程的建立与审批</w:t>
          </w:r>
          <w:r>
            <w:tab/>
          </w:r>
          <w:r>
            <w:fldChar w:fldCharType="begin"/>
          </w:r>
          <w:r>
            <w:instrText xml:space="preserve"> PAGEREF _Toc31711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C9D0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过程的变更与优化</w:t>
          </w:r>
          <w:r>
            <w:tab/>
          </w:r>
          <w:r>
            <w:fldChar w:fldCharType="begin"/>
          </w:r>
          <w:r>
            <w:instrText xml:space="preserve"> PAGEREF _Toc6350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48BE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过程的废止</w:t>
          </w:r>
          <w:r>
            <w:tab/>
          </w:r>
          <w:r>
            <w:fldChar w:fldCharType="begin"/>
          </w:r>
          <w:r>
            <w:instrText xml:space="preserve"> PAGEREF _Toc28987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37B4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过程的监督、测量与评审</w:t>
          </w:r>
          <w:r>
            <w:tab/>
          </w:r>
          <w:r>
            <w:fldChar w:fldCharType="begin"/>
          </w:r>
          <w:r>
            <w:instrText xml:space="preserve"> PAGEREF _Toc15610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213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过程执行监督</w:t>
          </w:r>
          <w:r>
            <w:tab/>
          </w:r>
          <w:r>
            <w:fldChar w:fldCharType="begin"/>
          </w:r>
          <w:r>
            <w:instrText xml:space="preserve"> PAGEREF _Toc29340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6F54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过程绩效测量</w:t>
          </w:r>
          <w:r>
            <w:tab/>
          </w:r>
          <w:r>
            <w:fldChar w:fldCharType="begin"/>
          </w:r>
          <w:r>
            <w:instrText xml:space="preserve"> PAGEREF _Toc32580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8D080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管理评审与持续改进</w:t>
          </w:r>
          <w:r>
            <w:tab/>
          </w:r>
          <w:r>
            <w:fldChar w:fldCharType="begin"/>
          </w:r>
          <w:r>
            <w:instrText xml:space="preserve"> PAGEREF _Toc10256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18CB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_Toc31508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017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_Toc11455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1B253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08ECE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11840A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81"/>
      <w:r>
        <w:rPr>
          <w:rFonts w:hint="default"/>
          <w:lang w:val="en-US" w:eastAsia="zh-CN"/>
        </w:rPr>
        <w:t>总则</w:t>
      </w:r>
      <w:bookmarkEnd w:id="2"/>
    </w:p>
    <w:p w14:paraId="098B8E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41"/>
      <w:r>
        <w:rPr>
          <w:rFonts w:hint="default"/>
          <w:lang w:val="en-US" w:eastAsia="zh-CN"/>
        </w:rPr>
        <w:t>目的</w:t>
      </w:r>
      <w:bookmarkEnd w:id="3"/>
    </w:p>
    <w:p w14:paraId="0C4BF9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立并统一公司软件运维服务的整体管理逻辑与结构，明确各管理过程的目标、范围、相互关系及协同机制，构建一套系统化、标准化、可测量且持续改进的运维服务过程管理体系，以确保公司运维服务能力稳定、高效、合规，并有效支撑业务战略与客户服务目标的实现，特制定本框架制度。</w:t>
      </w:r>
    </w:p>
    <w:p w14:paraId="698E99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2985"/>
      <w:r>
        <w:rPr>
          <w:rFonts w:hint="default"/>
          <w:lang w:val="en-US" w:eastAsia="zh-CN"/>
        </w:rPr>
        <w:t>适用范围</w:t>
      </w:r>
      <w:bookmarkEnd w:id="4"/>
    </w:p>
    <w:p w14:paraId="1E6EDF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公司运维服务管理体系的顶层设计与根本性文件，适用于所有参与运维服务活动的部门（运维部、研发部、质量管理部、人力资源部、应急管理部等）及人员。本框架下各具体过程的管理要求，以相应的二级程序文件（即各专项管理制度）为准。</w:t>
      </w:r>
    </w:p>
    <w:p w14:paraId="051B38D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9001"/>
      <w:r>
        <w:rPr>
          <w:rFonts w:hint="default"/>
          <w:lang w:val="en-US" w:eastAsia="zh-CN"/>
        </w:rPr>
        <w:t>框架原则</w:t>
      </w:r>
      <w:bookmarkEnd w:id="5"/>
    </w:p>
    <w:p w14:paraId="2D289C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战略导向原则：过程框架的设计与运作必须紧密对齐公司业务战略与客户服务承诺。</w:t>
      </w:r>
    </w:p>
    <w:p w14:paraId="64F3BE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过程方法原则：采用过程方法管理相互关联的活动和资源，追求整体效能最优。</w:t>
      </w:r>
    </w:p>
    <w:p w14:paraId="6B8762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集成协同原则：确保各过程边界清晰、接口明确、信息流畅、协同高效。</w:t>
      </w:r>
    </w:p>
    <w:p w14:paraId="598341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价值创造原则：每个过程都应对服务交付的质量、效率或成本产生明确的增值贡献。</w:t>
      </w:r>
    </w:p>
    <w:p w14:paraId="47DF19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持续改进原则：基于数据驱动，通过监控、测量和评审，推动过程及框架的持续优化。</w:t>
      </w:r>
    </w:p>
    <w:p w14:paraId="35D7A95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977"/>
      <w:r>
        <w:rPr>
          <w:rFonts w:hint="default"/>
          <w:lang w:val="en-US" w:eastAsia="zh-CN"/>
        </w:rPr>
        <w:t>过程框架构成</w:t>
      </w:r>
      <w:bookmarkEnd w:id="6"/>
    </w:p>
    <w:p w14:paraId="5CBE472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725"/>
      <w:r>
        <w:rPr>
          <w:rFonts w:hint="default"/>
          <w:lang w:val="en-US" w:eastAsia="zh-CN"/>
        </w:rPr>
        <w:t>过程框架总览</w:t>
      </w:r>
      <w:bookmarkEnd w:id="7"/>
    </w:p>
    <w:p w14:paraId="0D2AF4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本公司运维服务过程框架以“战略与治理”为引领，以“核心交付与运营”为主线，以“支持保障”为基础，以“测量与改进”为闭环，构成一个有机统一的整体。框架结构如下图所示</w:t>
      </w:r>
    </w:p>
    <w:p w14:paraId="40A9C9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861820"/>
            <wp:effectExtent l="0" t="0" r="190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3B50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885"/>
      <w:r>
        <w:rPr>
          <w:rFonts w:hint="default"/>
          <w:lang w:val="en-US" w:eastAsia="zh-CN"/>
        </w:rPr>
        <w:t>过程组及核心过程定义</w:t>
      </w:r>
      <w:bookmarkEnd w:id="8"/>
    </w:p>
    <w:p w14:paraId="0443D1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本框架包含以下四个过程组，每个过程组下设若干核心管理过程：</w:t>
      </w:r>
    </w:p>
    <w:p w14:paraId="683BFF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9602"/>
      <w:r>
        <w:rPr>
          <w:rFonts w:hint="default"/>
          <w:lang w:val="en-US" w:eastAsia="zh-CN"/>
        </w:rPr>
        <w:t>战略与治理过程组</w:t>
      </w:r>
      <w:bookmarkEnd w:id="9"/>
    </w:p>
    <w:p w14:paraId="5212A9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定位：确定运维服务的方向、目标、规则与整体风险控制。</w:t>
      </w:r>
    </w:p>
    <w:p w14:paraId="1395BA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7CA27C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服务级别管理：定义、协商、监控并评审服务目标。</w:t>
      </w:r>
    </w:p>
    <w:p w14:paraId="77AF1E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服务报告管理：编制并发布服务绩效报告，支持透明沟通与管理决策。</w:t>
      </w:r>
    </w:p>
    <w:p w14:paraId="63504B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486"/>
      <w:r>
        <w:rPr>
          <w:rFonts w:hint="default"/>
          <w:lang w:val="en-US" w:eastAsia="zh-CN"/>
        </w:rPr>
        <w:t>核心交付与运营过程组</w:t>
      </w:r>
      <w:bookmarkEnd w:id="10"/>
    </w:p>
    <w:p w14:paraId="24B3DC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定位：直接面向客户，处理日常服务请求与异常，保障服务稳定运行。</w:t>
      </w:r>
    </w:p>
    <w:p w14:paraId="3F593F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核心过程（遵循“事-问-改-发”逻辑链）：</w:t>
      </w:r>
    </w:p>
    <w:p w14:paraId="3E7D03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事件管理：快速恢复中断的服务。</w:t>
      </w:r>
    </w:p>
    <w:p w14:paraId="623594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问题管理：查找并消除导致事件的根源。</w:t>
      </w:r>
    </w:p>
    <w:p w14:paraId="3BDCE3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变更管理：以受控方式实施所有修改。</w:t>
      </w:r>
    </w:p>
    <w:p w14:paraId="48806A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发布管理：受控地将软件版本部署至生产环境。</w:t>
      </w:r>
    </w:p>
    <w:p w14:paraId="5349D31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8869"/>
      <w:r>
        <w:rPr>
          <w:rFonts w:hint="default"/>
          <w:lang w:val="en-US" w:eastAsia="zh-CN"/>
        </w:rPr>
        <w:t>支持保障过程组</w:t>
      </w:r>
      <w:bookmarkEnd w:id="11"/>
    </w:p>
    <w:p w14:paraId="679DF0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定位：为核心交付过程提供必需的资源、信息、技术与安全基础。</w:t>
      </w:r>
    </w:p>
    <w:p w14:paraId="21C19A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554A0B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配置管理：维护服务组件资产信息及其关系的单一可信源。</w:t>
      </w:r>
    </w:p>
    <w:p w14:paraId="37A4DF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容量管理：确保当前及未来有足够的资源满足性能需求。</w:t>
      </w:r>
    </w:p>
    <w:p w14:paraId="184715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服务可用性和连续性管理：保障服务达到约定的可用性水平，并在中断后能有效恢复。</w:t>
      </w:r>
    </w:p>
    <w:p w14:paraId="036869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信息安全管理：保护信息的保密性、完整性和可用性。</w:t>
      </w:r>
    </w:p>
    <w:p w14:paraId="179FDC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0209"/>
      <w:r>
        <w:rPr>
          <w:rFonts w:hint="default"/>
          <w:lang w:val="en-US" w:eastAsia="zh-CN"/>
        </w:rPr>
        <w:t>测量与改进过程组</w:t>
      </w:r>
      <w:bookmarkEnd w:id="12"/>
    </w:p>
    <w:p w14:paraId="7DB1B8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定位：评估体系有效性，驱动基于事实的持续改进。</w:t>
      </w:r>
    </w:p>
    <w:p w14:paraId="4AB542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活动：本组活动不单独设立制度，而是嵌入于所有过程中，并通过质量管理部的独立监督、内部审核及由管理层主持的管理评审会议来实现。其核心是依据各过程产生的数据（如SLA达成率、事件解决时长、变更成功率、容量预警数、安全事件数等）进行评价并发起改进。</w:t>
      </w:r>
    </w:p>
    <w:p w14:paraId="4808D4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538"/>
      <w:r>
        <w:rPr>
          <w:rFonts w:hint="default"/>
          <w:lang w:val="en-US" w:eastAsia="zh-CN"/>
        </w:rPr>
        <w:t>过程间关系与协同机制</w:t>
      </w:r>
      <w:bookmarkEnd w:id="13"/>
    </w:p>
    <w:p w14:paraId="3EDAB4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139"/>
      <w:r>
        <w:rPr>
          <w:rFonts w:hint="default"/>
          <w:lang w:val="en-US" w:eastAsia="zh-CN"/>
        </w:rPr>
        <w:t>关键过程交互关系</w:t>
      </w:r>
      <w:bookmarkEnd w:id="14"/>
    </w:p>
    <w:p w14:paraId="30B9D3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各过程并非孤立运作，而是通过紧密的接口进行协同，关键交互示例如下：</w:t>
      </w:r>
    </w:p>
    <w:p w14:paraId="0C8C12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事件管理与问题管理：重大或重复发生的事件应触发问题管理流程，以进行根因分析。</w:t>
      </w:r>
    </w:p>
    <w:p w14:paraId="572955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问题/容量/安全管理与变更管理：诊断出的根本解决方案、扩容需求、安全加固措施必须通过变更管理流程受控实施。</w:t>
      </w:r>
    </w:p>
    <w:p w14:paraId="3A0750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变更/发布管理与配置管理：任何变更或发布实施后，必须及时更新配置管理数据库（CMDB），确保信息准确性。</w:t>
      </w:r>
    </w:p>
    <w:p w14:paraId="3AD1A5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服务级别管理与所有过程：SLA中定义的目标是事件响应、可用性监控、容量规划等多个过程的共同绩效基准。</w:t>
      </w:r>
    </w:p>
    <w:p w14:paraId="23A346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配置管理与事件/问题/变更管理：准确的配置项信息及其关系图，是进行故障快速定位、影响分析和制定恢复/变更方案的基础。</w:t>
      </w:r>
    </w:p>
    <w:p w14:paraId="7C57C49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3217"/>
      <w:r>
        <w:rPr>
          <w:rFonts w:hint="default"/>
          <w:lang w:val="en-US" w:eastAsia="zh-CN"/>
        </w:rPr>
        <w:t>信息流与数据共享要求</w:t>
      </w:r>
      <w:bookmarkEnd w:id="15"/>
    </w:p>
    <w:p w14:paraId="54444C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统一的运维管理平台是各过程信息流转与共享的核心载体。CMDB是所有技术资产信息的权威来源。各过程必须按规定在平台中记录关键活动、决策与结果数据，确保信息的可追溯性、一致性和可分析性，为管理决策提供数据支撑。</w:t>
      </w:r>
    </w:p>
    <w:p w14:paraId="21A630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3780"/>
      <w:r>
        <w:rPr>
          <w:rFonts w:hint="default"/>
          <w:lang w:val="en-US" w:eastAsia="zh-CN"/>
        </w:rPr>
        <w:t>跨部门协同职责</w:t>
      </w:r>
      <w:bookmarkEnd w:id="16"/>
    </w:p>
    <w:p w14:paraId="6590C1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运维部：是大部分核心运营及支持保障过程的执行主体与流程所有者。</w:t>
      </w:r>
    </w:p>
    <w:p w14:paraId="530FFB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研发部：是变更、发布、问题管理（技术根因分析）、容量与可用性（架构优化）的关键技术支持方。</w:t>
      </w:r>
    </w:p>
    <w:p w14:paraId="0EC21A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质量管理部：是所有过程的独立监督者、测量者与合规性审计方。</w:t>
      </w:r>
    </w:p>
    <w:p w14:paraId="51DA18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应急管理部：主导服务连续性管理的战略制定与重大应急协调。</w:t>
      </w:r>
    </w:p>
    <w:p w14:paraId="742C40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人力资源部：负责确保人员能力与过程要求相匹配（如培训、意识教育）。</w:t>
      </w:r>
    </w:p>
    <w:p w14:paraId="7DE244A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1289"/>
      <w:r>
        <w:rPr>
          <w:rFonts w:hint="default"/>
          <w:lang w:val="en-US" w:eastAsia="zh-CN"/>
        </w:rPr>
        <w:t>过程的治理与生命周期管理</w:t>
      </w:r>
      <w:bookmarkEnd w:id="17"/>
    </w:p>
    <w:p w14:paraId="1569C34D">
      <w:pPr>
        <w:pStyle w:val="30"/>
        <w:bidi w:val="0"/>
        <w:rPr>
          <w:rFonts w:hint="default"/>
          <w:lang w:val="en-US" w:eastAsia="zh-CN"/>
        </w:rPr>
      </w:pPr>
      <w:bookmarkStart w:id="18" w:name="_Toc31711"/>
      <w:r>
        <w:rPr>
          <w:rFonts w:hint="default"/>
          <w:lang w:val="en-US" w:eastAsia="zh-CN"/>
        </w:rPr>
        <w:t>过程的建立与审批</w:t>
      </w:r>
      <w:bookmarkEnd w:id="18"/>
    </w:p>
    <w:p w14:paraId="501D96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新过程的建立，需由主责部门提出业务案例，经质量管理部组织跨部门评审其必要性、与现有框架的兼容性及资源影响，报公司管理层批准后，方可编制具体制度并纳入本框架。</w:t>
      </w:r>
    </w:p>
    <w:p w14:paraId="539CBDB7">
      <w:pPr>
        <w:pStyle w:val="30"/>
        <w:bidi w:val="0"/>
        <w:rPr>
          <w:rFonts w:hint="default"/>
          <w:lang w:val="en-US" w:eastAsia="zh-CN"/>
        </w:rPr>
      </w:pPr>
      <w:bookmarkStart w:id="19" w:name="_Toc6350"/>
      <w:r>
        <w:rPr>
          <w:rFonts w:hint="default"/>
          <w:lang w:val="en-US" w:eastAsia="zh-CN"/>
        </w:rPr>
        <w:t>过程的变更与优化</w:t>
      </w:r>
      <w:bookmarkEnd w:id="19"/>
    </w:p>
    <w:p w14:paraId="4306BC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对已有过程的任何实质性变更（如关键活动、角色职责、主要模板的修改），须遵循《变更管理制度》，由过程所有者提交变更请求，经质量管理部评估对整体框架的影响后实施。</w:t>
      </w:r>
    </w:p>
    <w:p w14:paraId="1D24563F">
      <w:pPr>
        <w:pStyle w:val="30"/>
        <w:bidi w:val="0"/>
        <w:rPr>
          <w:rFonts w:hint="default"/>
          <w:lang w:val="en-US" w:eastAsia="zh-CN"/>
        </w:rPr>
      </w:pPr>
      <w:bookmarkStart w:id="20" w:name="_Toc28987"/>
      <w:r>
        <w:rPr>
          <w:rFonts w:hint="default"/>
          <w:lang w:val="en-US" w:eastAsia="zh-CN"/>
        </w:rPr>
        <w:t>过程的废止</w:t>
      </w:r>
      <w:bookmarkEnd w:id="20"/>
    </w:p>
    <w:p w14:paraId="6E6C86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当某个过程因业务调整或体系优化不再需要时，由过程所有者提出废止申请，经质量管理部审核并确保其职责可由其他过程承接后，报管理层批准废止。</w:t>
      </w:r>
    </w:p>
    <w:p w14:paraId="54D14F3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5610"/>
      <w:r>
        <w:rPr>
          <w:rFonts w:hint="default"/>
          <w:lang w:val="en-US" w:eastAsia="zh-CN"/>
        </w:rPr>
        <w:t>过程的监督、测量与评审</w:t>
      </w:r>
      <w:bookmarkEnd w:id="21"/>
    </w:p>
    <w:p w14:paraId="67033363">
      <w:pPr>
        <w:pStyle w:val="30"/>
        <w:bidi w:val="0"/>
        <w:rPr>
          <w:rFonts w:hint="default"/>
          <w:lang w:val="en-US" w:eastAsia="zh-CN"/>
        </w:rPr>
      </w:pPr>
      <w:bookmarkStart w:id="22" w:name="_Toc29340"/>
      <w:r>
        <w:rPr>
          <w:rFonts w:hint="default"/>
          <w:lang w:val="en-US" w:eastAsia="zh-CN"/>
        </w:rPr>
        <w:t>过程执行监督</w:t>
      </w:r>
      <w:bookmarkEnd w:id="22"/>
    </w:p>
    <w:p w14:paraId="46377A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质量管理部负责通过日常检查、记录抽查及平台数据监控等方式，监督各过程是否按照既定制度执行。</w:t>
      </w:r>
    </w:p>
    <w:p w14:paraId="5BCEA5FE">
      <w:pPr>
        <w:pStyle w:val="30"/>
        <w:bidi w:val="0"/>
        <w:rPr>
          <w:rFonts w:hint="default"/>
          <w:lang w:val="en-US" w:eastAsia="zh-CN"/>
        </w:rPr>
      </w:pPr>
      <w:bookmarkStart w:id="23" w:name="_Toc32580"/>
      <w:r>
        <w:rPr>
          <w:rFonts w:hint="default"/>
          <w:lang w:val="en-US" w:eastAsia="zh-CN"/>
        </w:rPr>
        <w:t>过程绩效测量</w:t>
      </w:r>
      <w:bookmarkEnd w:id="23"/>
    </w:p>
    <w:p w14:paraId="3B3341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各具体过程制度中需定义关键绩效指标。质量管理部负责汇总、分析这些指标，形成体系绩效视图，用于评估框架的有效性。</w:t>
      </w:r>
    </w:p>
    <w:p w14:paraId="236F419D">
      <w:pPr>
        <w:pStyle w:val="30"/>
        <w:bidi w:val="0"/>
        <w:rPr>
          <w:rFonts w:hint="default"/>
          <w:lang w:val="en-US" w:eastAsia="zh-CN"/>
        </w:rPr>
      </w:pPr>
      <w:bookmarkStart w:id="24" w:name="_Toc10256"/>
      <w:r>
        <w:rPr>
          <w:rFonts w:hint="default"/>
          <w:lang w:val="en-US" w:eastAsia="zh-CN"/>
        </w:rPr>
        <w:t>管理评审与持续改进</w:t>
      </w:r>
      <w:bookmarkEnd w:id="24"/>
    </w:p>
    <w:p w14:paraId="01AD3D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管理层应至少每年主持一次服务过程管理评审会议，基于质量报告、审计结果、客户反馈、绩效数据及战略变化，评估本过程框架的持续适宜性、充分性和有效性。会议输出必须包括关于过程、框架及资源需求的改进决策和行动项，从而关闭“测量与改进”的循环。</w:t>
      </w:r>
    </w:p>
    <w:p w14:paraId="4A588A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31508"/>
      <w:r>
        <w:rPr>
          <w:rFonts w:hint="eastAsia"/>
          <w:lang w:val="en-US" w:eastAsia="zh-CN"/>
        </w:rPr>
        <w:t>考核指标</w:t>
      </w:r>
      <w:bookmarkEnd w:id="2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65586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DFCB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5F7E3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6CC0B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C495A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D2FB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5F11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过程框架自评估次数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E0BF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CD5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次数，过程框架自评估报告数量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CC62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353EA2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1455"/>
      <w:r>
        <w:rPr>
          <w:rFonts w:hint="default"/>
          <w:lang w:val="en-US" w:eastAsia="zh-CN"/>
        </w:rPr>
        <w:t>附则</w:t>
      </w:r>
      <w:bookmarkEnd w:id="26"/>
    </w:p>
    <w:p w14:paraId="26682D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本制度由质量管理部负责解释、维护与修订。</w:t>
      </w:r>
    </w:p>
    <w:p w14:paraId="7214C2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本制度自发布之日起生效，原分散的相关框架性描述同时废止。</w:t>
      </w:r>
    </w:p>
    <w:p w14:paraId="0BBD33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本框架下所有具体过程的管理制度均为本制度的支撑性文件，共同构成公司完整的运维服务过程管理体系。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761E1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8E1928"/>
    <w:rsid w:val="22623E67"/>
    <w:rsid w:val="2D842B2A"/>
    <w:rsid w:val="446B0669"/>
    <w:rsid w:val="4B92297F"/>
    <w:rsid w:val="4FD572DE"/>
    <w:rsid w:val="50B138A7"/>
    <w:rsid w:val="5307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2670</Words>
  <Characters>2805</Characters>
  <Lines>0</Lines>
  <Paragraphs>0</Paragraphs>
  <TotalTime>0</TotalTime>
  <ScaleCrop>false</ScaleCrop>
  <LinksUpToDate>false</LinksUpToDate>
  <CharactersWithSpaces>2911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2026-04-24T17:37:29Z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