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EFC96B2">
      <w:pPr>
        <w:pStyle w:val="2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20" w:beforeLines="1000"/>
        <w:textAlignment w:val="baseline"/>
      </w:pPr>
      <w:bookmarkStart w:id="0" w:name="_Toc31015"/>
      <w:r>
        <w:drawing>
          <wp:anchor distT="0" distB="0" distL="114300" distR="114300" simplePos="0" relativeHeight="251661312" behindDoc="1" locked="0" layoutInCell="1" allowOverlap="1">
            <wp:simplePos x="0" y="0"/>
            <wp:positionH relativeFrom="column">
              <wp:posOffset>-19050</wp:posOffset>
            </wp:positionH>
            <wp:positionV relativeFrom="paragraph">
              <wp:posOffset>-22225</wp:posOffset>
            </wp:positionV>
            <wp:extent cx="5304790" cy="8893810"/>
            <wp:effectExtent l="0" t="0" r="13970" b="6350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04790" cy="8893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73675" cy="8843645"/>
            <wp:effectExtent l="0" t="0" r="14605" b="10795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84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3810</wp:posOffset>
            </wp:positionV>
            <wp:extent cx="5269865" cy="8856980"/>
            <wp:effectExtent l="0" t="0" r="3175" b="12700"/>
            <wp:wrapNone/>
            <wp:docPr id="2" name="图片 2" descr="微信图片_20250926153852_981_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微信图片_20250926153852_981_83"/>
                    <pic:cNvPicPr>
                      <a:picLocks noChangeAspect="1"/>
                    </pic:cNvPicPr>
                  </pic:nvPicPr>
                  <pic:blipFill>
                    <a:blip r:embed="rId9">
                      <a:alphaModFix amt="58000"/>
                      <a:lum contrast="-52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856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桐乡华数广电网络有限公司</w:t>
      </w:r>
      <w:bookmarkEnd w:id="0"/>
    </w:p>
    <w:p w14:paraId="17C96609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624" w:afterLines="200"/>
        <w:textAlignment w:val="baseline"/>
        <w:rPr>
          <w:rFonts w:hint="eastAsia"/>
          <w:lang w:val="en-US" w:eastAsia="zh-CN"/>
        </w:rPr>
      </w:pPr>
      <w:bookmarkStart w:id="1" w:name="_Toc11521"/>
      <w:r>
        <w:rPr>
          <w:rFonts w:hint="eastAsia"/>
          <w:lang w:val="en-US" w:eastAsia="zh-CN"/>
        </w:rPr>
        <w:t>配置管理制度</w:t>
      </w:r>
      <w:bookmarkEnd w:id="1"/>
    </w:p>
    <w:p w14:paraId="3F77D4F7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624" w:afterLines="200" w:line="219" w:lineRule="auto"/>
        <w:ind w:left="0" w:leftChars="0" w:right="0" w:rightChars="0" w:firstLine="0" w:firstLineChars="0"/>
        <w:jc w:val="center"/>
        <w:textAlignment w:val="baseline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文件编号：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  <w:t>TXHS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  <w:t>6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  <w:t>8</w:t>
      </w: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 w14:paraId="00180A3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</w:tcPr>
          <w:p w14:paraId="384E63A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运维部</w:t>
            </w:r>
          </w:p>
        </w:tc>
        <w:tc>
          <w:tcPr>
            <w:tcW w:w="2708" w:type="dxa"/>
          </w:tcPr>
          <w:p w14:paraId="61C4A80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 w14:paraId="262CCAD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  <w:shd w:val="clear" w:color="auto" w:fill="auto"/>
          </w:tcPr>
          <w:p w14:paraId="47DBCDD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V2.</w:t>
            </w:r>
            <w:r>
              <w:rPr>
                <w:rFonts w:hint="eastAsia"/>
                <w:spacing w:val="0"/>
                <w:kern w:val="0"/>
                <w:u w:val="single"/>
                <w:vertAlign w:val="baseline"/>
                <w:lang w:val="en-US" w:eastAsia="zh-CN"/>
              </w:rPr>
              <w:t>0</w:t>
            </w:r>
          </w:p>
        </w:tc>
        <w:tc>
          <w:tcPr>
            <w:tcW w:w="2708" w:type="dxa"/>
            <w:shd w:val="clear" w:color="auto" w:fill="auto"/>
          </w:tcPr>
          <w:p w14:paraId="776C8DC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</w:t>
            </w:r>
            <w:bookmarkStart w:id="17" w:name="_GoBack"/>
            <w:bookmarkEnd w:id="17"/>
            <w:r>
              <w:rPr>
                <w:rFonts w:hint="eastAsia"/>
                <w:vertAlign w:val="baseline"/>
                <w:lang w:val="en-US" w:eastAsia="zh-CN"/>
              </w:rPr>
              <w:t>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 w14:paraId="13BFC8A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2432" w:type="dxa"/>
          </w:tcPr>
          <w:p w14:paraId="6055B35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</w:t>
            </w:r>
            <w:r>
              <w:rPr>
                <w:rFonts w:hint="eastAsia"/>
                <w:spacing w:val="1"/>
                <w:kern w:val="0"/>
                <w:vertAlign w:val="baseline"/>
                <w:lang w:val="en-US" w:eastAsia="zh-CN"/>
              </w:rPr>
              <w:t>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吴亚红</w:t>
            </w:r>
          </w:p>
        </w:tc>
        <w:tc>
          <w:tcPr>
            <w:tcW w:w="2708" w:type="dxa"/>
          </w:tcPr>
          <w:p w14:paraId="756D56F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</w:tbl>
    <w:p w14:paraId="01686192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 w14:paraId="37C43B0B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hAnsi="宋体" w:eastAsia="宋体" w:cs="宋体"/>
          <w:sz w:val="31"/>
          <w:szCs w:val="31"/>
        </w:rPr>
      </w:pPr>
      <w:r>
        <w:rPr>
          <w:rFonts w:ascii="宋体" w:hAnsi="宋体" w:eastAsia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26"/>
        <w:tblW w:w="8214" w:type="dxa"/>
        <w:jc w:val="center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17"/>
        <w:gridCol w:w="972"/>
        <w:gridCol w:w="1575"/>
        <w:gridCol w:w="1829"/>
        <w:gridCol w:w="1606"/>
        <w:gridCol w:w="915"/>
      </w:tblGrid>
      <w:tr w14:paraId="19D2A02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  <w:jc w:val="center"/>
        </w:trPr>
        <w:tc>
          <w:tcPr>
            <w:tcW w:w="1317" w:type="dxa"/>
          </w:tcPr>
          <w:p w14:paraId="12C6407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cs="宋体"/>
                <w:spacing w:val="-14"/>
                <w:sz w:val="20"/>
                <w:szCs w:val="20"/>
                <w:lang w:val="en-US" w:eastAsia="zh-CN"/>
              </w:rPr>
              <w:t>修订</w:t>
            </w:r>
            <w:r>
              <w:rPr>
                <w:rFonts w:ascii="宋体" w:hAnsi="宋体" w:eastAsia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72" w:type="dxa"/>
          </w:tcPr>
          <w:p w14:paraId="43E4FCB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1575" w:type="dxa"/>
          </w:tcPr>
          <w:p w14:paraId="1B65006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829" w:type="dxa"/>
          </w:tcPr>
          <w:p w14:paraId="263FD04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宋体" w:hAnsi="宋体" w:eastAsia="宋体" w:cs="宋体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修订人</w:t>
            </w:r>
          </w:p>
        </w:tc>
        <w:tc>
          <w:tcPr>
            <w:tcW w:w="1606" w:type="dxa"/>
          </w:tcPr>
          <w:p w14:paraId="799E515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cs="宋体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审批人</w:t>
            </w:r>
          </w:p>
        </w:tc>
        <w:tc>
          <w:tcPr>
            <w:tcW w:w="915" w:type="dxa"/>
          </w:tcPr>
          <w:p w14:paraId="42F7E8E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批准人</w:t>
            </w:r>
          </w:p>
        </w:tc>
      </w:tr>
      <w:tr w14:paraId="19B95C3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 w:hRule="atLeast"/>
          <w:jc w:val="center"/>
        </w:trPr>
        <w:tc>
          <w:tcPr>
            <w:tcW w:w="1317" w:type="dxa"/>
            <w:shd w:val="clear" w:color="auto" w:fill="auto"/>
          </w:tcPr>
          <w:p w14:paraId="081DDDA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2022.6.20</w:t>
            </w:r>
          </w:p>
        </w:tc>
        <w:tc>
          <w:tcPr>
            <w:tcW w:w="972" w:type="dxa"/>
            <w:shd w:val="clear" w:color="auto" w:fill="auto"/>
          </w:tcPr>
          <w:p w14:paraId="242A5FC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1575" w:type="dxa"/>
            <w:shd w:val="clear" w:color="auto" w:fill="auto"/>
          </w:tcPr>
          <w:p w14:paraId="515ED06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  <w:t>新</w:t>
            </w:r>
            <w:r>
              <w:rPr>
                <w:rFonts w:ascii="宋体" w:hAnsi="宋体" w:eastAsia="宋体" w:cs="宋体"/>
                <w:spacing w:val="0"/>
                <w:kern w:val="0"/>
                <w:sz w:val="20"/>
                <w:szCs w:val="20"/>
              </w:rPr>
              <w:t>建</w:t>
            </w:r>
          </w:p>
        </w:tc>
        <w:tc>
          <w:tcPr>
            <w:tcW w:w="1829" w:type="dxa"/>
            <w:shd w:val="clear" w:color="auto" w:fill="auto"/>
          </w:tcPr>
          <w:p w14:paraId="0510944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napToGrid w:val="0"/>
                <w:color w:val="000000"/>
                <w:spacing w:val="2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hint="eastAsia" w:ascii="宋体" w:hAnsi="宋体" w:cs="宋体"/>
                <w:spacing w:val="200"/>
                <w:kern w:val="0"/>
                <w:sz w:val="20"/>
                <w:szCs w:val="20"/>
                <w:lang w:val="en-US" w:eastAsia="zh-CN"/>
              </w:rPr>
              <w:t>程方</w:t>
            </w:r>
          </w:p>
        </w:tc>
        <w:tc>
          <w:tcPr>
            <w:tcW w:w="1606" w:type="dxa"/>
            <w:shd w:val="clear" w:color="auto" w:fill="auto"/>
          </w:tcPr>
          <w:p w14:paraId="787C357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napToGrid w:val="0"/>
                <w:color w:val="000000"/>
                <w:spacing w:val="2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茅建根</w:t>
            </w:r>
          </w:p>
        </w:tc>
        <w:tc>
          <w:tcPr>
            <w:tcW w:w="915" w:type="dxa"/>
            <w:shd w:val="clear" w:color="auto" w:fill="auto"/>
          </w:tcPr>
          <w:p w14:paraId="0D24CD1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吴亚红</w:t>
            </w:r>
          </w:p>
        </w:tc>
      </w:tr>
      <w:tr w14:paraId="29D2320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1317" w:type="dxa"/>
            <w:shd w:val="clear" w:color="auto" w:fill="auto"/>
          </w:tcPr>
          <w:p w14:paraId="4D02C54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2025.1.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10</w:t>
            </w:r>
          </w:p>
        </w:tc>
        <w:tc>
          <w:tcPr>
            <w:tcW w:w="972" w:type="dxa"/>
            <w:shd w:val="clear" w:color="auto" w:fill="auto"/>
          </w:tcPr>
          <w:p w14:paraId="7C0F16B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V</w:t>
            </w:r>
            <w:r>
              <w:rPr>
                <w:rFonts w:hint="eastAsia" w:ascii="宋体" w:hAnsi="宋体" w:cs="宋体"/>
                <w:spacing w:val="4"/>
                <w:position w:val="1"/>
                <w:sz w:val="20"/>
                <w:szCs w:val="20"/>
                <w:lang w:val="en-US" w:eastAsia="zh-CN"/>
              </w:rPr>
              <w:t>2</w:t>
            </w: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.0</w:t>
            </w:r>
          </w:p>
        </w:tc>
        <w:tc>
          <w:tcPr>
            <w:tcW w:w="1575" w:type="dxa"/>
            <w:shd w:val="clear" w:color="auto" w:fill="auto"/>
          </w:tcPr>
          <w:p w14:paraId="79A73C3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添加核心培养</w:t>
            </w:r>
          </w:p>
        </w:tc>
        <w:tc>
          <w:tcPr>
            <w:tcW w:w="1829" w:type="dxa"/>
            <w:shd w:val="clear" w:color="auto" w:fill="auto"/>
          </w:tcPr>
          <w:p w14:paraId="36441DB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hint="eastAsia" w:ascii="宋体" w:hAnsi="宋体" w:cs="宋体"/>
                <w:spacing w:val="200"/>
                <w:kern w:val="0"/>
                <w:sz w:val="20"/>
                <w:szCs w:val="20"/>
                <w:lang w:val="en-US" w:eastAsia="zh-CN"/>
              </w:rPr>
              <w:t>程方</w:t>
            </w:r>
          </w:p>
        </w:tc>
        <w:tc>
          <w:tcPr>
            <w:tcW w:w="1606" w:type="dxa"/>
            <w:shd w:val="clear" w:color="auto" w:fill="auto"/>
          </w:tcPr>
          <w:p w14:paraId="21CC7FE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茅建根</w:t>
            </w:r>
          </w:p>
        </w:tc>
        <w:tc>
          <w:tcPr>
            <w:tcW w:w="915" w:type="dxa"/>
            <w:shd w:val="clear" w:color="auto" w:fill="auto"/>
          </w:tcPr>
          <w:p w14:paraId="5CD335F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吴亚红</w:t>
            </w:r>
          </w:p>
        </w:tc>
      </w:tr>
      <w:tr w14:paraId="40CA656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1317" w:type="dxa"/>
          </w:tcPr>
          <w:p w14:paraId="569E776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1F354897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538F3D15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750D76A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4033423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35074A21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7A4ABD9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  <w:jc w:val="center"/>
        </w:trPr>
        <w:tc>
          <w:tcPr>
            <w:tcW w:w="1317" w:type="dxa"/>
          </w:tcPr>
          <w:p w14:paraId="586F10B9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52BC47E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5E91C9C6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5B8A10C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414A5486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60037C35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</w:tbl>
    <w:p w14:paraId="294CBEED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hint="eastAsia" w:ascii="宋体" w:hAnsi="宋体" w:eastAsia="宋体" w:cs="宋体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 w14:paraId="5AE7505C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textAlignment w:val="baseline"/>
            <w:rPr>
              <w:rFonts w:hint="eastAsia" w:ascii="宋体" w:hAnsi="宋体" w:eastAsia="宋体" w:cs="宋体"/>
              <w:sz w:val="24"/>
              <w:szCs w:val="24"/>
            </w:rPr>
          </w:pPr>
          <w:r>
            <w:rPr>
              <w:rFonts w:hint="eastAsia" w:ascii="宋体" w:hAnsi="宋体" w:eastAsia="宋体" w:cs="宋体"/>
              <w:sz w:val="24"/>
              <w:szCs w:val="24"/>
            </w:rPr>
            <w:t>目录</w:t>
          </w:r>
        </w:p>
        <w:p w14:paraId="0E70AFA4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 w:val="24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 w:val="24"/>
              <w:szCs w:val="24"/>
            </w:rPr>
            <w:instrText xml:space="preserve">TOC \o "1-3" \h \u </w:instrText>
          </w:r>
          <w:r>
            <w:rPr>
              <w:rFonts w:hint="eastAsia" w:ascii="宋体" w:hAnsi="宋体" w:eastAsia="宋体" w:cs="宋体"/>
              <w:sz w:val="24"/>
              <w:szCs w:val="24"/>
            </w:rPr>
            <w:fldChar w:fldCharType="separate"/>
          </w: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_Toc31015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桐乡华数广电网络有限公司</w:t>
          </w:r>
          <w:r>
            <w:tab/>
          </w:r>
          <w:r>
            <w:fldChar w:fldCharType="begin"/>
          </w:r>
          <w:r>
            <w:instrText xml:space="preserve"> PAGEREF _Toc31015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2D123E7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_Toc11521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配置管理制度</w:t>
          </w:r>
          <w:r>
            <w:tab/>
          </w:r>
          <w:r>
            <w:fldChar w:fldCharType="begin"/>
          </w:r>
          <w:r>
            <w:instrText xml:space="preserve"> PAGEREF _Toc11521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D691029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_Toc15837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 总则</w:t>
          </w:r>
          <w:r>
            <w:tab/>
          </w:r>
          <w:r>
            <w:fldChar w:fldCharType="begin"/>
          </w:r>
          <w:r>
            <w:instrText xml:space="preserve"> PAGEREF _Toc15837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F2906B8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_Toc13118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1.1. 目的</w:t>
          </w:r>
          <w:r>
            <w:tab/>
          </w:r>
          <w:r>
            <w:fldChar w:fldCharType="begin"/>
          </w:r>
          <w:r>
            <w:instrText xml:space="preserve"> PAGEREF _Toc13118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6A6C456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_Toc5040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1.2. 适用范围</w:t>
          </w:r>
          <w:r>
            <w:tab/>
          </w:r>
          <w:r>
            <w:fldChar w:fldCharType="begin"/>
          </w:r>
          <w:r>
            <w:instrText xml:space="preserve"> PAGEREF _Toc5040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FA6EBF9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_Toc18249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1.3. 原则</w:t>
          </w:r>
          <w:r>
            <w:tab/>
          </w:r>
          <w:r>
            <w:fldChar w:fldCharType="begin"/>
          </w:r>
          <w:r>
            <w:instrText xml:space="preserve"> PAGEREF _Toc18249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BE5436A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_Toc10658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 角色与职责</w:t>
          </w:r>
          <w:r>
            <w:tab/>
          </w:r>
          <w:r>
            <w:fldChar w:fldCharType="begin"/>
          </w:r>
          <w:r>
            <w:instrText xml:space="preserve"> PAGEREF _Toc10658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4889451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_Toc22360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 核心管理活动</w:t>
          </w:r>
          <w:r>
            <w:tab/>
          </w:r>
          <w:r>
            <w:fldChar w:fldCharType="begin"/>
          </w:r>
          <w:r>
            <w:instrText xml:space="preserve"> PAGEREF _Toc22360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E6EB8EA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_Toc11109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3.1. 配置项识别与建模</w:t>
          </w:r>
          <w:r>
            <w:tab/>
          </w:r>
          <w:r>
            <w:fldChar w:fldCharType="begin"/>
          </w:r>
          <w:r>
            <w:instrText xml:space="preserve"> PAGEREF _Toc11109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8CA7D0C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_Toc17760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3.2. 配置信息录入与维护</w:t>
          </w:r>
          <w:r>
            <w:tab/>
          </w:r>
          <w:r>
            <w:fldChar w:fldCharType="begin"/>
          </w:r>
          <w:r>
            <w:instrText xml:space="preserve"> PAGEREF _Toc17760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795398E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_Toc27644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3.3. 配置状态报告</w:t>
          </w:r>
          <w:r>
            <w:tab/>
          </w:r>
          <w:r>
            <w:fldChar w:fldCharType="begin"/>
          </w:r>
          <w:r>
            <w:instrText xml:space="preserve"> PAGEREF _Toc27644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644EEE3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_Toc13743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 配置审计</w:t>
          </w:r>
          <w:r>
            <w:tab/>
          </w:r>
          <w:r>
            <w:fldChar w:fldCharType="begin"/>
          </w:r>
          <w:r>
            <w:instrText xml:space="preserve"> PAGEREF _Toc13743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A1DA3CC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_Toc3692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4.1. 审计类型与周期</w:t>
          </w:r>
          <w:r>
            <w:tab/>
          </w:r>
          <w:r>
            <w:fldChar w:fldCharType="begin"/>
          </w:r>
          <w:r>
            <w:instrText xml:space="preserve"> PAGEREF _Toc3692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425EB52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_Toc22373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4.2. 审计流程</w:t>
          </w:r>
          <w:r>
            <w:tab/>
          </w:r>
          <w:r>
            <w:fldChar w:fldCharType="begin"/>
          </w:r>
          <w:r>
            <w:instrText xml:space="preserve"> PAGEREF _Toc22373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221E34A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_Toc25821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 与其他流程的接口</w:t>
          </w:r>
          <w:r>
            <w:tab/>
          </w:r>
          <w:r>
            <w:fldChar w:fldCharType="begin"/>
          </w:r>
          <w:r>
            <w:instrText xml:space="preserve"> PAGEREF _Toc25821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EEC69DC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_Toc7554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6. </w:t>
          </w:r>
          <w:r>
            <w:rPr>
              <w:rFonts w:hint="eastAsia"/>
              <w:lang w:val="en-US" w:eastAsia="zh-CN"/>
            </w:rPr>
            <w:t>考核指标</w:t>
          </w:r>
          <w:r>
            <w:tab/>
          </w:r>
          <w:r>
            <w:fldChar w:fldCharType="begin"/>
          </w:r>
          <w:r>
            <w:instrText xml:space="preserve"> PAGEREF _Toc7554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B0225CC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_Toc16859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7. 附则</w:t>
          </w:r>
          <w:r>
            <w:tab/>
          </w:r>
          <w:r>
            <w:fldChar w:fldCharType="begin"/>
          </w:r>
          <w:r>
            <w:instrText xml:space="preserve"> PAGEREF _Toc16859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D7489C7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  <w:rPr>
              <w:rFonts w:hint="eastAsia" w:ascii="宋体" w:hAnsi="宋体" w:eastAsia="宋体" w:cs="宋体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</w:sdtContent>
    </w:sdt>
    <w:p w14:paraId="489A8184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 w14:paraId="5653BAE1">
      <w:pPr>
        <w:pStyle w:val="28"/>
        <w:bidi w:val="0"/>
        <w:rPr>
          <w:rFonts w:hint="default"/>
          <w:lang w:val="en-US" w:eastAsia="zh-CN"/>
        </w:rPr>
      </w:pPr>
      <w:bookmarkStart w:id="2" w:name="_Toc15837"/>
      <w:r>
        <w:rPr>
          <w:rFonts w:hint="default"/>
          <w:lang w:val="en-US" w:eastAsia="zh-CN"/>
        </w:rPr>
        <w:t>总则</w:t>
      </w:r>
      <w:bookmarkEnd w:id="2"/>
    </w:p>
    <w:p w14:paraId="45B1A3CD">
      <w:pPr>
        <w:pStyle w:val="30"/>
        <w:bidi w:val="0"/>
        <w:rPr>
          <w:rFonts w:hint="default"/>
          <w:lang w:val="en-US" w:eastAsia="zh-CN"/>
        </w:rPr>
      </w:pPr>
      <w:bookmarkStart w:id="3" w:name="_Toc13118"/>
      <w:r>
        <w:rPr>
          <w:rFonts w:hint="default"/>
          <w:lang w:val="en-US" w:eastAsia="zh-CN"/>
        </w:rPr>
        <w:t>目的</w:t>
      </w:r>
      <w:bookmarkEnd w:id="3"/>
    </w:p>
    <w:p w14:paraId="1C728030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规范公司软件运维服务中配置项的管理，建立并维护一套准确、可信的配置管理数据库，为事件管理、问题管理、变更管理、发布管理等流程提供可靠的信息支撑，保障服务交付的稳定性与运维决策的有效性，特制定本制度。</w:t>
      </w:r>
    </w:p>
    <w:p w14:paraId="30B95FE5">
      <w:pPr>
        <w:pStyle w:val="30"/>
        <w:bidi w:val="0"/>
        <w:rPr>
          <w:rFonts w:hint="default"/>
          <w:lang w:val="en-US" w:eastAsia="zh-CN"/>
        </w:rPr>
      </w:pPr>
      <w:bookmarkStart w:id="4" w:name="_Toc5040"/>
      <w:r>
        <w:rPr>
          <w:rFonts w:hint="default"/>
          <w:lang w:val="en-US" w:eastAsia="zh-CN"/>
        </w:rPr>
        <w:t>适用范围</w:t>
      </w:r>
      <w:bookmarkEnd w:id="4"/>
    </w:p>
    <w:p w14:paraId="4464D3A2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本制度适用于公司所有软件运维服务项目中，纳入管理范围内的所有配置项，主要包括：</w:t>
      </w:r>
    </w:p>
    <w:p w14:paraId="5B2063F7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应用服务类：应用程序、微服务、API接口、前端页面。</w:t>
      </w:r>
    </w:p>
    <w:p w14:paraId="304D3DD7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数据与中间件类：数据库实例、缓存服务、消息队列、ETL流程。</w:t>
      </w:r>
    </w:p>
    <w:p w14:paraId="59B380F5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运行环境类：服务器（含虚拟机/容器）操作系统、运行时环境、配置文件、环境变量。</w:t>
      </w:r>
    </w:p>
    <w:p w14:paraId="58966707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工具与文档类：监控工具账号、运维脚本、架构图、部署文档。</w:t>
      </w:r>
    </w:p>
    <w:p w14:paraId="7F4EAAAE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逻辑实体类：客户组织机构、关键业务逻辑单元、服务目录条目。</w:t>
      </w:r>
    </w:p>
    <w:p w14:paraId="7FA1BD60">
      <w:pPr>
        <w:pStyle w:val="30"/>
        <w:bidi w:val="0"/>
        <w:rPr>
          <w:rFonts w:hint="default"/>
          <w:lang w:val="en-US" w:eastAsia="zh-CN"/>
        </w:rPr>
      </w:pPr>
      <w:bookmarkStart w:id="5" w:name="_Toc18249"/>
      <w:r>
        <w:rPr>
          <w:rFonts w:hint="default"/>
          <w:lang w:val="en-US" w:eastAsia="zh-CN"/>
        </w:rPr>
        <w:t>原则</w:t>
      </w:r>
      <w:bookmarkEnd w:id="5"/>
    </w:p>
    <w:p w14:paraId="2E865A02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权威单一来源：配置管理数据库是配置项信息的唯一权威来源。</w:t>
      </w:r>
    </w:p>
    <w:p w14:paraId="1A7F5D39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全程跟踪：配置项在整个生命周期内的状态和关系变化必须被记录。</w:t>
      </w:r>
    </w:p>
    <w:p w14:paraId="4CE1AECB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受控变更：所有配置项的变更必须通过变更管理流程驱动。</w:t>
      </w:r>
    </w:p>
    <w:p w14:paraId="539DA59D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定期审计：必须定期对CMDB的准确性进行审计与验证。</w:t>
      </w:r>
    </w:p>
    <w:p w14:paraId="1A64CE6C">
      <w:pPr>
        <w:pStyle w:val="28"/>
        <w:bidi w:val="0"/>
        <w:rPr>
          <w:rFonts w:hint="default"/>
          <w:lang w:val="en-US" w:eastAsia="zh-CN"/>
        </w:rPr>
      </w:pPr>
      <w:bookmarkStart w:id="6" w:name="_Toc10658"/>
      <w:r>
        <w:rPr>
          <w:rFonts w:hint="default"/>
          <w:lang w:val="en-US" w:eastAsia="zh-CN"/>
        </w:rPr>
        <w:t>角色与职责</w:t>
      </w:r>
      <w:bookmarkEnd w:id="6"/>
    </w:p>
    <w:tbl>
      <w:tblPr>
        <w:tblStyle w:val="20"/>
        <w:tblW w:w="9024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158"/>
        <w:gridCol w:w="4315"/>
        <w:gridCol w:w="3551"/>
      </w:tblGrid>
      <w:tr w14:paraId="0C4EB2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64BE478A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角色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4C2062E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主要职责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A7F66AC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对应岗位/人员</w:t>
            </w:r>
          </w:p>
        </w:tc>
      </w:tr>
      <w:tr w14:paraId="692DBE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3FDC0455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配置管理负责人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B57F644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1. 制定并维护配置管理策略、流程与标准。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2. 监督管理CMDB的整体健康度与数据质量。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3. 审批配置项分类、属性及关系模型的变更。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4. </w:t>
            </w: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组织并主导定期的配置审计活动。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65CDB1CE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运维部经理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（总体负责）</w:t>
            </w:r>
          </w:p>
        </w:tc>
      </w:tr>
      <w:tr w14:paraId="167BD1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7EBC5E0F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配置管理员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376D384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1. 负责CMDB的日常操作，执行配置项的登记、更新、退役。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2. 审核并执行来自变更流程的配置信息更新请求。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3. 定期生成配置状态报告。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4. </w:t>
            </w: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执行具体的配置审计与数据验证工作。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6E348CD0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（通常由质量管理部专员或运维部指定骨干工程师兼任）</w:t>
            </w:r>
          </w:p>
        </w:tc>
      </w:tr>
      <w:tr w14:paraId="5E93C3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6DA837BA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配置项责任人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C0FA11C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1. 确保所负责配置项信息的真实性与及时性。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2. 在配置发生变更后，主动或按要求向配置管理员提供准确信息。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3. 配合完成配置审计的现场验证。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7864921F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运维项目经理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（对服务整体配置负责）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 w:type="textWrapping"/>
            </w: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运维工程师/开发工程师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（对具体技术组件负责）</w:t>
            </w:r>
          </w:p>
        </w:tc>
      </w:tr>
      <w:tr w14:paraId="4A743B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455AFE39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质量管理部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C6AD5F2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1. 监督本制度的执行情况与流程合规性。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2. </w:t>
            </w: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参与配置审计，并对审计发现问题的整改进行跟踪验证。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4F5EAD21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质量管理部经理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及</w:t>
            </w: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质量管理专员</w:t>
            </w:r>
          </w:p>
        </w:tc>
      </w:tr>
    </w:tbl>
    <w:p w14:paraId="69830B0A">
      <w:pPr>
        <w:pStyle w:val="28"/>
        <w:bidi w:val="0"/>
        <w:rPr>
          <w:rFonts w:hint="default"/>
          <w:lang w:val="en-US" w:eastAsia="zh-CN"/>
        </w:rPr>
      </w:pPr>
      <w:bookmarkStart w:id="7" w:name="_Toc22360"/>
      <w:r>
        <w:rPr>
          <w:rFonts w:hint="default"/>
          <w:lang w:val="en-US" w:eastAsia="zh-CN"/>
        </w:rPr>
        <w:t>核心管理活动</w:t>
      </w:r>
      <w:bookmarkEnd w:id="7"/>
    </w:p>
    <w:p w14:paraId="71D7DD77">
      <w:pPr>
        <w:pStyle w:val="30"/>
        <w:bidi w:val="0"/>
        <w:rPr>
          <w:rFonts w:hint="default"/>
          <w:lang w:val="en-US" w:eastAsia="zh-CN"/>
        </w:rPr>
      </w:pPr>
      <w:bookmarkStart w:id="8" w:name="_Toc11109"/>
      <w:r>
        <w:rPr>
          <w:rFonts w:hint="default"/>
          <w:lang w:val="en-US" w:eastAsia="zh-CN"/>
        </w:rPr>
        <w:t>配置项识别与建模</w:t>
      </w:r>
      <w:bookmarkEnd w:id="8"/>
    </w:p>
    <w:p w14:paraId="6BEF68BD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识别范围：根据服务合同与SLA，确定需要管理的配置项及其颗粒度。</w:t>
      </w:r>
    </w:p>
    <w:p w14:paraId="693B9A9D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定义属性：为每类配置项定义关键属性（如名称、版本、IP/域名、负责人、状态）。</w:t>
      </w:r>
    </w:p>
    <w:p w14:paraId="0E8EBEB3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定义关系：明确配置项之间的逻辑与依赖关系（如“运行于”、“连接至”、“依赖”）。</w:t>
      </w:r>
    </w:p>
    <w:p w14:paraId="3273431C">
      <w:pPr>
        <w:pStyle w:val="30"/>
        <w:bidi w:val="0"/>
        <w:rPr>
          <w:rFonts w:hint="default"/>
          <w:lang w:val="en-US" w:eastAsia="zh-CN"/>
        </w:rPr>
      </w:pPr>
      <w:bookmarkStart w:id="9" w:name="_Toc17760"/>
      <w:r>
        <w:rPr>
          <w:rFonts w:hint="default"/>
          <w:lang w:val="en-US" w:eastAsia="zh-CN"/>
        </w:rPr>
        <w:t>配置信息录入与维护</w:t>
      </w:r>
      <w:bookmarkEnd w:id="9"/>
    </w:p>
    <w:p w14:paraId="40E2E5C5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初始入库：新项目启动或新服务上线时，由配置项责任人提供信息，配置管理员统一初始化录入CMDB。</w:t>
      </w:r>
    </w:p>
    <w:p w14:paraId="6E42AE19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日常更新： 所有配置项的变更必须经由变更管理流程触发。变更实施后，由变更实施人（工程师）或配置管理员依据变更结果更新CMDB。</w:t>
      </w:r>
    </w:p>
    <w:p w14:paraId="51924E19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状态管理： 配置项状态（如“设计中”、“运行中”、“已下线”、“已归档”）需随其生命周期及时更新。</w:t>
      </w:r>
    </w:p>
    <w:p w14:paraId="60EF649C">
      <w:pPr>
        <w:pStyle w:val="30"/>
        <w:bidi w:val="0"/>
        <w:rPr>
          <w:rFonts w:hint="default"/>
          <w:lang w:val="en-US" w:eastAsia="zh-CN"/>
        </w:rPr>
      </w:pPr>
      <w:bookmarkStart w:id="10" w:name="_Toc27644"/>
      <w:r>
        <w:rPr>
          <w:rFonts w:hint="default"/>
          <w:lang w:val="en-US" w:eastAsia="zh-CN"/>
        </w:rPr>
        <w:t>配置状态报告</w:t>
      </w:r>
      <w:bookmarkEnd w:id="10"/>
    </w:p>
    <w:p w14:paraId="1D83FE1C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定期生成并分发配置状态报告、配置项关系图等，供项目管理、容量规划及风险分析使用。</w:t>
      </w:r>
    </w:p>
    <w:p w14:paraId="2AFC253A">
      <w:pPr>
        <w:pStyle w:val="28"/>
        <w:bidi w:val="0"/>
        <w:rPr>
          <w:rFonts w:hint="default"/>
          <w:lang w:val="en-US" w:eastAsia="zh-CN"/>
        </w:rPr>
      </w:pPr>
      <w:bookmarkStart w:id="11" w:name="_Toc13743"/>
      <w:r>
        <w:rPr>
          <w:rFonts w:hint="default"/>
          <w:lang w:val="en-US" w:eastAsia="zh-CN"/>
        </w:rPr>
        <w:t>配置审计</w:t>
      </w:r>
      <w:bookmarkEnd w:id="11"/>
    </w:p>
    <w:p w14:paraId="1406C922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为确保CMDB数据的准确性，必须定期执行配置审计。</w:t>
      </w:r>
    </w:p>
    <w:p w14:paraId="743FB017">
      <w:pPr>
        <w:pStyle w:val="30"/>
        <w:bidi w:val="0"/>
        <w:rPr>
          <w:rFonts w:hint="default"/>
          <w:lang w:val="en-US" w:eastAsia="zh-CN"/>
        </w:rPr>
      </w:pPr>
      <w:bookmarkStart w:id="12" w:name="_Toc3692"/>
      <w:r>
        <w:rPr>
          <w:rFonts w:hint="default"/>
          <w:lang w:val="en-US" w:eastAsia="zh-CN"/>
        </w:rPr>
        <w:t>审计类型与周期</w:t>
      </w:r>
      <w:bookmarkEnd w:id="12"/>
    </w:p>
    <w:p w14:paraId="5878E430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全面审计：每年至少进行一次，覆盖所有在管配置项，验证其属性、关系及状态的准确性。</w:t>
      </w:r>
    </w:p>
    <w:p w14:paraId="52E1CF65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专项审计：在以下情况下必须进行：</w:t>
      </w:r>
    </w:p>
    <w:p w14:paraId="09429240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重大项目上线或下线后。</w:t>
      </w:r>
    </w:p>
    <w:p w14:paraId="40379A5D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重大变更实施后。</w:t>
      </w:r>
    </w:p>
    <w:p w14:paraId="639B7B24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发生重大事件，怀疑与配置信息不准确有关时。</w:t>
      </w:r>
    </w:p>
    <w:p w14:paraId="7A552EA3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抽样审计：每季度进行一次，随机抽取不低于10%的关键配置项（如核心应用、数据库）进行深度验证。</w:t>
      </w:r>
    </w:p>
    <w:p w14:paraId="4DBBF090">
      <w:pPr>
        <w:pStyle w:val="30"/>
        <w:bidi w:val="0"/>
        <w:rPr>
          <w:rFonts w:hint="default"/>
          <w:lang w:val="en-US" w:eastAsia="zh-CN"/>
        </w:rPr>
      </w:pPr>
      <w:bookmarkStart w:id="13" w:name="_Toc22373"/>
      <w:r>
        <w:rPr>
          <w:rFonts w:hint="default"/>
          <w:lang w:val="en-US" w:eastAsia="zh-CN"/>
        </w:rPr>
        <w:t>审计流程</w:t>
      </w:r>
      <w:bookmarkEnd w:id="13"/>
    </w:p>
    <w:p w14:paraId="378031A7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计划：配置管理负责人制定审计计划，明确范围、方法和时间。</w:t>
      </w:r>
    </w:p>
    <w:p w14:paraId="59DDEC32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执行：配置管理员协同配置项责任人，比对CMDB记录与实际环境。</w:t>
      </w:r>
    </w:p>
    <w:p w14:paraId="3E7F8561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分析：记录差异，分析原因（如未授权变更、流程未遵循、录入错误）。</w:t>
      </w:r>
    </w:p>
    <w:p w14:paraId="46865C2E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纠正：针对差异发起变更请求（RFC）以修正CMDB，或纠正不合规的实际配置。</w:t>
      </w:r>
    </w:p>
    <w:p w14:paraId="62E4C87D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报告：编制《配置审计报告》，包括审计结果、差异分析、纠正措施及改进建议，提交至质量管理部及管理层。</w:t>
      </w:r>
    </w:p>
    <w:p w14:paraId="51307B10">
      <w:pPr>
        <w:pStyle w:val="28"/>
        <w:bidi w:val="0"/>
        <w:rPr>
          <w:rFonts w:hint="default"/>
          <w:lang w:val="en-US" w:eastAsia="zh-CN"/>
        </w:rPr>
      </w:pPr>
      <w:bookmarkStart w:id="14" w:name="_Toc25821"/>
      <w:r>
        <w:rPr>
          <w:rFonts w:hint="default"/>
          <w:lang w:val="en-US" w:eastAsia="zh-CN"/>
        </w:rPr>
        <w:t>与其他流程的接口</w:t>
      </w:r>
      <w:bookmarkEnd w:id="14"/>
    </w:p>
    <w:p w14:paraId="42C5CA32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事件/问题管理：在处理事件和问题时，应关联相关配置项，利用其关系图辅助根因定位。若发现配置信息错误，应触发CMDB更新流程。</w:t>
      </w:r>
    </w:p>
    <w:p w14:paraId="5A9ED41E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变更管理：核心接口。所有变更请求（RFC）必须识别受影响配置项。变更实施成功后，必须同步更新CMDB，否则变更流程不得关闭。</w:t>
      </w:r>
    </w:p>
    <w:p w14:paraId="4B005225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发布管理：发布新版本后，必须更新相关应用程序、中间件等配置项的版本属性。</w:t>
      </w:r>
    </w:p>
    <w:p w14:paraId="15EB9F05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15" w:name="_Toc7554"/>
      <w:r>
        <w:rPr>
          <w:rFonts w:hint="eastAsia"/>
          <w:lang w:val="en-US" w:eastAsia="zh-CN"/>
        </w:rPr>
        <w:t>考核指标</w:t>
      </w:r>
      <w:bookmarkEnd w:id="15"/>
    </w:p>
    <w:tbl>
      <w:tblPr>
        <w:tblStyle w:val="20"/>
        <w:tblW w:w="7675" w:type="dxa"/>
        <w:tblInd w:w="96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11"/>
        <w:gridCol w:w="984"/>
        <w:gridCol w:w="3624"/>
        <w:gridCol w:w="1056"/>
      </w:tblGrid>
      <w:tr w14:paraId="78BB1DC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3" w:hRule="atLeast"/>
        </w:trPr>
        <w:tc>
          <w:tcPr>
            <w:tcW w:w="201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0C0C0"/>
            <w:vAlign w:val="center"/>
          </w:tcPr>
          <w:p w14:paraId="78A4FA4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  <w:t>KPI</w:t>
            </w:r>
          </w:p>
        </w:tc>
        <w:tc>
          <w:tcPr>
            <w:tcW w:w="9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0C0C0"/>
            <w:vAlign w:val="center"/>
          </w:tcPr>
          <w:p w14:paraId="0B1DEC5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  <w:t>目标值</w:t>
            </w:r>
          </w:p>
        </w:tc>
        <w:tc>
          <w:tcPr>
            <w:tcW w:w="36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0C0C0"/>
            <w:vAlign w:val="center"/>
          </w:tcPr>
          <w:p w14:paraId="35B5802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  <w:t>计算公式/方法</w:t>
            </w:r>
          </w:p>
        </w:tc>
        <w:tc>
          <w:tcPr>
            <w:tcW w:w="105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0C0C0"/>
            <w:vAlign w:val="center"/>
          </w:tcPr>
          <w:p w14:paraId="57C3DE2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  <w:t>频度</w:t>
            </w:r>
          </w:p>
        </w:tc>
      </w:tr>
      <w:tr w14:paraId="00AB540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3" w:hRule="atLeast"/>
        </w:trPr>
        <w:tc>
          <w:tcPr>
            <w:tcW w:w="201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0D33F99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配置数据的准确率</w:t>
            </w:r>
          </w:p>
        </w:tc>
        <w:tc>
          <w:tcPr>
            <w:tcW w:w="9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0A5B012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≥95%</w:t>
            </w:r>
          </w:p>
        </w:tc>
        <w:tc>
          <w:tcPr>
            <w:tcW w:w="36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74B55E8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（配置数据匹配数/配置数据总数）*100%</w:t>
            </w:r>
          </w:p>
        </w:tc>
        <w:tc>
          <w:tcPr>
            <w:tcW w:w="105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34C6355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半年</w:t>
            </w:r>
          </w:p>
        </w:tc>
      </w:tr>
    </w:tbl>
    <w:p w14:paraId="00AE872B">
      <w:pPr>
        <w:pStyle w:val="28"/>
        <w:bidi w:val="0"/>
        <w:rPr>
          <w:rFonts w:hint="default"/>
          <w:lang w:val="en-US" w:eastAsia="zh-CN"/>
        </w:rPr>
      </w:pPr>
      <w:bookmarkStart w:id="16" w:name="_Toc16859"/>
      <w:r>
        <w:rPr>
          <w:rFonts w:hint="default"/>
          <w:lang w:val="en-US" w:eastAsia="zh-CN"/>
        </w:rPr>
        <w:t>附则</w:t>
      </w:r>
      <w:bookmarkEnd w:id="16"/>
    </w:p>
    <w:p w14:paraId="70D2010F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本制度由运维部负责解释与修订，自发布之日起执行。所有项目必须依据本制度建立和维护项目级配置管理子集。</w:t>
      </w:r>
    </w:p>
    <w:sectPr>
      <w:headerReference r:id="rId5" w:type="default"/>
      <w:pgSz w:w="11906" w:h="16838"/>
      <w:pgMar w:top="1417" w:right="1800" w:bottom="1440" w:left="1800" w:header="1140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楷体_GB2312">
    <w:altName w:val="楷体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KSOFF9CC6125">
    <w:panose1 w:val="02010609060101010101"/>
    <w:charset w:val="86"/>
    <w:family w:val="auto"/>
    <w:pitch w:val="default"/>
    <w:sig w:usb0="00000001" w:usb1="00000000" w:usb2="00000000" w:usb3="00000000" w:csb0="0004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C7C33D3">
    <w:pPr>
      <w:pStyle w:val="15"/>
      <w:pBdr>
        <w:bottom w:val="single" w:color="auto" w:sz="4" w:space="1"/>
      </w:pBdr>
      <w:tabs>
        <w:tab w:val="left" w:pos="335"/>
        <w:tab w:val="right" w:pos="8426"/>
      </w:tabs>
      <w:jc w:val="right"/>
      <w:rPr>
        <w:rFonts w:hint="eastAsia" w:eastAsiaTheme="minorEastAsia"/>
        <w:lang w:eastAsia="zh-CN"/>
      </w:rPr>
    </w:pP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>桐乡华数广电网络有限公司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doNotTrackMoves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8FD6C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/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2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table" w:customStyle="1" w:styleId="39">
    <w:name w:val="Table Normal_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40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1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2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1958</Words>
  <Characters>2119</Characters>
  <Lines>0</Lines>
  <Paragraphs>0</Paragraphs>
  <TotalTime>0</TotalTime>
  <ScaleCrop>false</ScaleCrop>
  <LinksUpToDate>false</LinksUpToDate>
  <CharactersWithSpaces>2200</CharactersWithSpaces>
  <Application>WPS Office_12.1.0.25865_F1E327BC-269C-435d-A152-05C5408002CA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2025-09-03T14:43:00Z</dcterms:created>
  <dc:creator>郝宇</dc:creator>
  <cp:lastModifiedBy>郝宇</cp:lastModifiedBy>
  <dcterms:modified xsi:type="dcterms:W3CDTF">2026-04-24T17:38:15Z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BA828AC39D334D9FACCDF2EC6AEF6D30_13</vt:lpwstr>
  </property>
  <property fmtid="{D5CDD505-2E9C-101B-9397-08002B2CF9AE}" pid="3" name="KSOProductBuildVer">
    <vt:lpwstr>2052-12.1.0.25865</vt:lpwstr>
  </property>
  <property fmtid="{D5CDD505-2E9C-101B-9397-08002B2CF9AE}" pid="4" name="KSOTemplateDocerSaveRecord">
    <vt:lpwstr>eyJoZGlkIjoiZWI4NmUzMGY2ODA3MDc4ZTFlMjZjZTAyMjM0NmVmODgiLCJ1c2VySWQiOiIxMDc1MzgyOSJ9</vt:lpwstr>
  </property>
</Properties>
</file>