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0F56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66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DBA9D7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0587"/>
      <w:r>
        <w:rPr>
          <w:rFonts w:hint="eastAsia"/>
          <w:lang w:val="en-US" w:eastAsia="zh-CN"/>
        </w:rPr>
        <w:t>容量管理制度</w:t>
      </w:r>
      <w:bookmarkEnd w:id="1"/>
    </w:p>
    <w:p w14:paraId="2D99E33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3699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C912C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4A31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D28B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FB82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DC7C5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18" w:name="_GoBack"/>
            <w:bookmarkEnd w:id="18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F797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FEBFE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6CDB0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BBC438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9DED15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EE88A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09CE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4C349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E141A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99AB3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73FF5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9860C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5B35F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  <w:vAlign w:val="top"/>
          </w:tcPr>
          <w:p w14:paraId="618608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  <w:vAlign w:val="top"/>
          </w:tcPr>
          <w:p w14:paraId="011CB6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  <w:vAlign w:val="top"/>
          </w:tcPr>
          <w:p w14:paraId="49E62E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  <w:vAlign w:val="top"/>
          </w:tcPr>
          <w:p w14:paraId="3E31BE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  <w:vAlign w:val="top"/>
          </w:tcPr>
          <w:p w14:paraId="47E228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  <w:vAlign w:val="top"/>
          </w:tcPr>
          <w:p w14:paraId="2BE72D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26C19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5E8B5E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4D8027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00604D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9D470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0F1705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5F6986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35C83F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D97C8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A6753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1F8E5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55C0E5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4C2FC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B44D2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4CB0F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AB91C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70607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7F88E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A7BC8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E27D8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F0F74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09A2A9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9E38BF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49B2E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_Toc14666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7389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容量管理制度</w:t>
          </w:r>
          <w:r>
            <w:tab/>
          </w:r>
          <w:r>
            <w:fldChar w:fldCharType="begin"/>
          </w:r>
          <w:r>
            <w:instrText xml:space="preserve"> PAGEREF _Toc30587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76A7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_Toc19867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C9B2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_Toc18193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6225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_Toc7512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C5E0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_Toc28666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1744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定义与术语</w:t>
          </w:r>
          <w:r>
            <w:tab/>
          </w:r>
          <w:r>
            <w:fldChar w:fldCharType="begin"/>
          </w:r>
          <w:r>
            <w:instrText xml:space="preserve"> PAGEREF _Toc24417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D0A0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_Toc25651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D12A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容量管理活动</w:t>
          </w:r>
          <w:r>
            <w:tab/>
          </w:r>
          <w:r>
            <w:fldChar w:fldCharType="begin"/>
          </w:r>
          <w:r>
            <w:instrText xml:space="preserve"> PAGEREF _Toc470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1428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容量规划与需求管理</w:t>
          </w:r>
          <w:r>
            <w:tab/>
          </w:r>
          <w:r>
            <w:fldChar w:fldCharType="begin"/>
          </w:r>
          <w:r>
            <w:instrText xml:space="preserve"> PAGEREF _Toc29969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AE47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容量监控与数据收集</w:t>
          </w:r>
          <w:r>
            <w:tab/>
          </w:r>
          <w:r>
            <w:fldChar w:fldCharType="begin"/>
          </w:r>
          <w:r>
            <w:instrText xml:space="preserve"> PAGEREF _Toc1445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7B85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容量分析与建模</w:t>
          </w:r>
          <w:r>
            <w:tab/>
          </w:r>
          <w:r>
            <w:fldChar w:fldCharType="begin"/>
          </w:r>
          <w:r>
            <w:instrText xml:space="preserve"> PAGEREF _Toc26894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137E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容量预警与报告</w:t>
          </w:r>
          <w:r>
            <w:tab/>
          </w:r>
          <w:r>
            <w:fldChar w:fldCharType="begin"/>
          </w:r>
          <w:r>
            <w:instrText xml:space="preserve"> PAGEREF _Toc17305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8828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容量优化与实施</w:t>
          </w:r>
          <w:r>
            <w:tab/>
          </w:r>
          <w:r>
            <w:fldChar w:fldCharType="begin"/>
          </w:r>
          <w:r>
            <w:instrText xml:space="preserve"> PAGEREF _Toc6421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1C2B8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评审与改进</w:t>
          </w:r>
          <w:r>
            <w:tab/>
          </w:r>
          <w:r>
            <w:fldChar w:fldCharType="begin"/>
          </w:r>
          <w:r>
            <w:instrText xml:space="preserve"> PAGEREF _Toc20218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756A5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_Toc6453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4786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166D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_Toc20451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9230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DB2AA7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6A862F8">
      <w:pPr>
        <w:pStyle w:val="28"/>
        <w:bidi w:val="0"/>
        <w:rPr>
          <w:rFonts w:hint="default"/>
          <w:lang w:val="en-US" w:eastAsia="zh-CN"/>
        </w:rPr>
      </w:pPr>
      <w:bookmarkStart w:id="2" w:name="_Toc19867"/>
      <w:r>
        <w:rPr>
          <w:rFonts w:hint="default"/>
          <w:lang w:val="en-US" w:eastAsia="zh-CN"/>
        </w:rPr>
        <w:t>总则</w:t>
      </w:r>
      <w:bookmarkEnd w:id="2"/>
    </w:p>
    <w:p w14:paraId="46B91801">
      <w:pPr>
        <w:pStyle w:val="30"/>
        <w:bidi w:val="0"/>
        <w:rPr>
          <w:rFonts w:hint="default"/>
          <w:lang w:val="en-US" w:eastAsia="zh-CN"/>
        </w:rPr>
      </w:pPr>
      <w:bookmarkStart w:id="3" w:name="_Toc18193"/>
      <w:r>
        <w:rPr>
          <w:rFonts w:hint="default"/>
          <w:lang w:val="en-US" w:eastAsia="zh-CN"/>
        </w:rPr>
        <w:t>目的</w:t>
      </w:r>
      <w:bookmarkEnd w:id="3"/>
    </w:p>
    <w:p w14:paraId="220189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、前瞻地管理软件运维服务所需的各种技术资源容量，确保以合理的成本，及时满足当前及未来的业务性能与可用性需求，预防因容量不足导致的性能劣化或服务中断，并为服务规划和投资决策提供数据支持，特制定本制度。</w:t>
      </w:r>
    </w:p>
    <w:p w14:paraId="682066BF">
      <w:pPr>
        <w:pStyle w:val="30"/>
        <w:bidi w:val="0"/>
        <w:rPr>
          <w:rFonts w:hint="default"/>
          <w:lang w:val="en-US" w:eastAsia="zh-CN"/>
        </w:rPr>
      </w:pPr>
      <w:bookmarkStart w:id="4" w:name="_Toc7512"/>
      <w:r>
        <w:rPr>
          <w:rFonts w:hint="default"/>
          <w:lang w:val="en-US" w:eastAsia="zh-CN"/>
        </w:rPr>
        <w:t>适用范围</w:t>
      </w:r>
      <w:bookmarkEnd w:id="4"/>
    </w:p>
    <w:p w14:paraId="3B2752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本制度适用于公司所有软件运维服务项目中，对服务性能与稳定性有直接影响的关键资源容量的管理，主要包括但不限于：</w:t>
      </w:r>
    </w:p>
    <w:p w14:paraId="18E98BB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计算资源：云服务器/虚拟机的CPU、内存利用率。</w:t>
      </w:r>
    </w:p>
    <w:p w14:paraId="4027058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存储资源：数据库、文件系统、对象存储的容量与IOPS。</w:t>
      </w:r>
    </w:p>
    <w:p w14:paraId="5A5FB50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网络资源：带宽、连接数、网络延迟。</w:t>
      </w:r>
    </w:p>
    <w:p w14:paraId="5E48BBC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应用性能容量：应用服务实例数、线程池、数据库连接池、消息队列深度、API吞吐量与响应时间。</w:t>
      </w:r>
    </w:p>
    <w:p w14:paraId="40D7361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软件许可：关键中间件、数据库的许可或会话数限制。</w:t>
      </w:r>
    </w:p>
    <w:p w14:paraId="2B156F21">
      <w:pPr>
        <w:pStyle w:val="30"/>
        <w:bidi w:val="0"/>
        <w:rPr>
          <w:rFonts w:hint="default"/>
          <w:lang w:val="en-US" w:eastAsia="zh-CN"/>
        </w:rPr>
      </w:pPr>
      <w:bookmarkStart w:id="5" w:name="_Toc28666"/>
      <w:r>
        <w:rPr>
          <w:rFonts w:hint="default"/>
          <w:lang w:val="en-US" w:eastAsia="zh-CN"/>
        </w:rPr>
        <w:t>原则</w:t>
      </w:r>
      <w:bookmarkEnd w:id="5"/>
    </w:p>
    <w:p w14:paraId="40E770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业务驱动：容量规划必须基于业务发展趋势和服务级别要求。</w:t>
      </w:r>
    </w:p>
    <w:p w14:paraId="301EAC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主动预防：通过持续监控与趋势分析，在性能问题发生前主动识别和解决容量瓶颈。</w:t>
      </w:r>
    </w:p>
    <w:p w14:paraId="3A4DDE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成本效益：在满足服务目标的前提下，寻求最优的容量配置方案，控制成本。</w:t>
      </w:r>
    </w:p>
    <w:p w14:paraId="5FE6B3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数据驱动：所有容量决策应基于准确、持续的监控数据和科学的分析模型。</w:t>
      </w:r>
    </w:p>
    <w:p w14:paraId="459DDB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闭环管理：建立“监控-分析-规划-实施-评审”的持续优化闭环。</w:t>
      </w:r>
    </w:p>
    <w:p w14:paraId="50DD0480">
      <w:pPr>
        <w:pStyle w:val="28"/>
        <w:bidi w:val="0"/>
        <w:rPr>
          <w:rFonts w:hint="default"/>
          <w:lang w:val="en-US" w:eastAsia="zh-CN"/>
        </w:rPr>
      </w:pPr>
      <w:bookmarkStart w:id="6" w:name="_Toc24417"/>
      <w:r>
        <w:rPr>
          <w:rFonts w:hint="default"/>
          <w:lang w:val="en-US" w:eastAsia="zh-CN"/>
        </w:rPr>
        <w:t>定义与术语</w:t>
      </w:r>
      <w:bookmarkEnd w:id="6"/>
    </w:p>
    <w:p w14:paraId="50E295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容量管理：旨在确保以符合成本效益的方式，及时提供满足业务需求的IT资源能力的流程。</w:t>
      </w:r>
    </w:p>
    <w:p w14:paraId="6AB380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业务容量管理：关注未来业务计划对IT服务能力的需求，并将其转化为对技术资源的需求。</w:t>
      </w:r>
    </w:p>
    <w:p w14:paraId="555B9A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服务容量管理：关注和管理当前及未来IT服务的性能，确保达到既定的服务级别目标。</w:t>
      </w:r>
    </w:p>
    <w:p w14:paraId="60CE56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资源容量管理：关注和管理单个IT基础架构组件（如服务器、网络、数据库）的容量。</w:t>
      </w:r>
    </w:p>
    <w:p w14:paraId="5E6005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容量基线：在特定时间段内，反映正常业务负荷下系统性能与资源利用率的基准数据集合。</w:t>
      </w:r>
    </w:p>
    <w:p w14:paraId="66A7A5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容量预警阈值：触发容量评估或干预行动的资源使用率临界值。</w:t>
      </w:r>
    </w:p>
    <w:p w14:paraId="74D9C755">
      <w:pPr>
        <w:pStyle w:val="28"/>
        <w:bidi w:val="0"/>
        <w:rPr>
          <w:rFonts w:hint="default"/>
          <w:lang w:val="en-US" w:eastAsia="zh-CN"/>
        </w:rPr>
      </w:pPr>
      <w:bookmarkStart w:id="7" w:name="_Toc25651"/>
      <w:r>
        <w:rPr>
          <w:rFonts w:hint="default"/>
          <w:lang w:val="en-US" w:eastAsia="zh-CN"/>
        </w:rPr>
        <w:t>角色与职责</w:t>
      </w:r>
      <w:bookmarkEnd w:id="7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4491"/>
        <w:gridCol w:w="3098"/>
      </w:tblGrid>
      <w:tr w14:paraId="0E96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A6CB8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B6D8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FD984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 w14:paraId="7BC71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4CAE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容量经理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AB23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负责本制度的推行与总体协调。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审批容量管理计划、容量分析报告及重大扩容方案。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协调跨部门资源，解决重大容量瓶颈问题。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A139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 w14:paraId="623FD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7F35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容量管理员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5C7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执行日常容量监控、数据分析与趋势预测。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编制《容量分析报告》与《容量计划》。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设置和调整容量监控预警阈值。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跟踪容量优化措施的实施情况。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F2D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（指定专人）</w:t>
            </w:r>
          </w:p>
        </w:tc>
      </w:tr>
      <w:tr w14:paraId="72F7F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93B5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F41B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提供所辖项目的业务增长预测与性能需求。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参与项目容量评审，确保容量计划支持SLA达成。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推动项目内因容量问题触发的改进措施。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AB2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运维部-运维项目经理</w:t>
            </w:r>
          </w:p>
        </w:tc>
      </w:tr>
      <w:tr w14:paraId="173C7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1BE4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835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提供应用性能优化、架构伸缩性改进的技术方案。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协助进行容量压力测试与性能建模。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参与重大扩容或架构改造的技术评审。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A781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研发部-开发/测试工程师</w:t>
            </w:r>
          </w:p>
        </w:tc>
      </w:tr>
      <w:tr w14:paraId="5860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7490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C8E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监督容量管理流程的执行合规性。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审计容量报告及预警处理的及时性。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将容量相关指标纳入质量目标监控。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0027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质量管理部经理/专员</w:t>
            </w:r>
          </w:p>
        </w:tc>
      </w:tr>
    </w:tbl>
    <w:p w14:paraId="56D7FE7A">
      <w:pPr>
        <w:pStyle w:val="28"/>
        <w:bidi w:val="0"/>
        <w:rPr>
          <w:rFonts w:hint="default"/>
          <w:lang w:val="en-US" w:eastAsia="zh-CN"/>
        </w:rPr>
      </w:pPr>
      <w:bookmarkStart w:id="8" w:name="_Toc470"/>
      <w:r>
        <w:rPr>
          <w:rFonts w:hint="default"/>
          <w:lang w:val="en-US" w:eastAsia="zh-CN"/>
        </w:rPr>
        <w:t>容量管理活动</w:t>
      </w:r>
      <w:bookmarkEnd w:id="8"/>
    </w:p>
    <w:p w14:paraId="635A296F">
      <w:pPr>
        <w:pStyle w:val="30"/>
        <w:bidi w:val="0"/>
        <w:rPr>
          <w:rFonts w:hint="default"/>
          <w:lang w:val="en-US" w:eastAsia="zh-CN"/>
        </w:rPr>
      </w:pPr>
      <w:bookmarkStart w:id="9" w:name="_Toc29969"/>
      <w:r>
        <w:rPr>
          <w:rFonts w:hint="default"/>
          <w:lang w:val="en-US" w:eastAsia="zh-CN"/>
        </w:rPr>
        <w:t>容量规划与需求管理</w:t>
      </w:r>
      <w:bookmarkEnd w:id="9"/>
    </w:p>
    <w:p w14:paraId="4EC181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在新服务上线或重大项目启动前，容量管理员应协同运维项目经理、研发部，基于《服务级别协议》中的性能目标及业务预测，共同制定初始容量规划。</w:t>
      </w:r>
    </w:p>
    <w:p w14:paraId="06BF26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运维项目经理有责任定期（每半年）提供所负责服务的业务量预测。</w:t>
      </w:r>
    </w:p>
    <w:p w14:paraId="364DC0E6">
      <w:pPr>
        <w:pStyle w:val="30"/>
        <w:bidi w:val="0"/>
        <w:rPr>
          <w:rFonts w:hint="default"/>
          <w:lang w:val="en-US" w:eastAsia="zh-CN"/>
        </w:rPr>
      </w:pPr>
      <w:bookmarkStart w:id="10" w:name="_Toc1445"/>
      <w:r>
        <w:rPr>
          <w:rFonts w:hint="default"/>
          <w:lang w:val="en-US" w:eastAsia="zh-CN"/>
        </w:rPr>
        <w:t>容量监控与数据收集</w:t>
      </w:r>
      <w:bookmarkEnd w:id="10"/>
    </w:p>
    <w:p w14:paraId="3F097B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运维部应建立统一的监控体系，对第1.2条定义的关键资源指标进行7x24小时持续监控和数据收集。</w:t>
      </w:r>
    </w:p>
    <w:p w14:paraId="644B42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容量管理员负责维护容量监控仪表盘和预警规则。当资源使用率超过预设的预警阈值（如CPU持续&gt;70%）时，系统应自动生成告警并触发《事件管理》流程。</w:t>
      </w:r>
    </w:p>
    <w:p w14:paraId="15C31F70">
      <w:pPr>
        <w:pStyle w:val="30"/>
        <w:bidi w:val="0"/>
        <w:rPr>
          <w:rFonts w:hint="default"/>
          <w:lang w:val="en-US" w:eastAsia="zh-CN"/>
        </w:rPr>
      </w:pPr>
      <w:bookmarkStart w:id="11" w:name="_Toc26894"/>
      <w:r>
        <w:rPr>
          <w:rFonts w:hint="default"/>
          <w:lang w:val="en-US" w:eastAsia="zh-CN"/>
        </w:rPr>
        <w:t>容量分析与建模</w:t>
      </w:r>
      <w:bookmarkEnd w:id="11"/>
    </w:p>
    <w:p w14:paraId="328016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容量管理员应每月分析监控数据，识别使用趋势、峰值规律和潜在瓶颈。</w:t>
      </w:r>
    </w:p>
    <w:p w14:paraId="25C4BD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利用历史数据建立简单的容量预测模型（如线性回归），预测未来特定时间点（如3个月、6个月后）的资源需求。</w:t>
      </w:r>
    </w:p>
    <w:p w14:paraId="009895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分析结果应能回答：“当前容量何时会耗尽？”、“为支持未来业务增长，需要何时、增加多少容量？”。</w:t>
      </w:r>
    </w:p>
    <w:p w14:paraId="20B2A922">
      <w:pPr>
        <w:pStyle w:val="30"/>
        <w:bidi w:val="0"/>
        <w:rPr>
          <w:rFonts w:hint="default"/>
          <w:lang w:val="en-US" w:eastAsia="zh-CN"/>
        </w:rPr>
      </w:pPr>
      <w:bookmarkStart w:id="12" w:name="_Toc17305"/>
      <w:r>
        <w:rPr>
          <w:rFonts w:hint="default"/>
          <w:lang w:val="en-US" w:eastAsia="zh-CN"/>
        </w:rPr>
        <w:t>容量预警与报告</w:t>
      </w:r>
      <w:bookmarkEnd w:id="12"/>
    </w:p>
    <w:p w14:paraId="316A2D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容量管理员须定期（每季度）编制《容量分析报告》，内容包括：当前容量使用概况、趋势分析、预测结果、已识别风险及改进建议。</w:t>
      </w:r>
    </w:p>
    <w:p w14:paraId="19F8A6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该报告应提交给容量经理、相关运维项目经理及质量管理部，并作为《服务报告》的一部分向客户披露关键发现。</w:t>
      </w:r>
    </w:p>
    <w:p w14:paraId="7E0D44B8">
      <w:pPr>
        <w:pStyle w:val="30"/>
        <w:bidi w:val="0"/>
        <w:rPr>
          <w:rFonts w:hint="default"/>
          <w:lang w:val="en-US" w:eastAsia="zh-CN"/>
        </w:rPr>
      </w:pPr>
      <w:bookmarkStart w:id="13" w:name="_Toc6421"/>
      <w:r>
        <w:rPr>
          <w:rFonts w:hint="default"/>
          <w:lang w:val="en-US" w:eastAsia="zh-CN"/>
        </w:rPr>
        <w:t>容量优化与实施</w:t>
      </w:r>
      <w:bookmarkEnd w:id="13"/>
    </w:p>
    <w:p w14:paraId="7CF3DC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优化：对于已出现的瓶颈或预测的缺口，应首先评估软件层面的优化可能（如代码优化、索引优化、配置调优），研发部应提供技术支持。</w:t>
      </w:r>
    </w:p>
    <w:p w14:paraId="45D3B7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扩容：当优化无法满足需求时，容量管理员应提出明确的扩容方案（包括资源规格、数量、预算估算及实施时间窗口），通过《变更管理》流程审批后实施。</w:t>
      </w:r>
    </w:p>
    <w:p w14:paraId="657A2C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所有容量变更实施后，需验证效果并更新配置管理数据库（CMDB）中的资源配置信息。</w:t>
      </w:r>
    </w:p>
    <w:p w14:paraId="496D8755">
      <w:pPr>
        <w:pStyle w:val="30"/>
        <w:bidi w:val="0"/>
        <w:rPr>
          <w:rFonts w:hint="default"/>
          <w:lang w:val="en-US" w:eastAsia="zh-CN"/>
        </w:rPr>
      </w:pPr>
      <w:bookmarkStart w:id="14" w:name="_Toc20218"/>
      <w:r>
        <w:rPr>
          <w:rFonts w:hint="default"/>
          <w:lang w:val="en-US" w:eastAsia="zh-CN"/>
        </w:rPr>
        <w:t>评审与改进</w:t>
      </w:r>
      <w:bookmarkEnd w:id="14"/>
    </w:p>
    <w:p w14:paraId="0804BD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容量经理应至少每半年组织召开一次容量管理评审会，审查容量计划执行情况、分析报告质量以及流程本身的有效性，并推动改进措施的落实。</w:t>
      </w:r>
    </w:p>
    <w:p w14:paraId="116E30A8">
      <w:pPr>
        <w:pStyle w:val="28"/>
        <w:bidi w:val="0"/>
        <w:rPr>
          <w:rFonts w:hint="default"/>
          <w:lang w:val="en-US" w:eastAsia="zh-CN"/>
        </w:rPr>
      </w:pPr>
      <w:bookmarkStart w:id="15" w:name="_Toc6453"/>
      <w:r>
        <w:rPr>
          <w:rFonts w:hint="default"/>
          <w:lang w:val="en-US" w:eastAsia="zh-CN"/>
        </w:rPr>
        <w:t>与其他流程的接口</w:t>
      </w:r>
      <w:bookmarkEnd w:id="15"/>
    </w:p>
    <w:p w14:paraId="020467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服务级别管理：提供性能与可用性目标，是容量规划的起点和终点。</w:t>
      </w:r>
    </w:p>
    <w:p w14:paraId="4FDA54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事件管理：容量预警自动触发事件工单，性能下降事件可能由容量问题引起。</w:t>
      </w:r>
    </w:p>
    <w:p w14:paraId="2AD281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问题管理：对反复出现的、由容量瓶颈导致的性能问题进行根因分析，并推动架构级优化。</w:t>
      </w:r>
    </w:p>
    <w:p w14:paraId="5A5E54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变更管理：所有容量调整（扩容、缩容、配置调优）必须通过变更流程控制。</w:t>
      </w:r>
    </w:p>
    <w:p w14:paraId="685548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配置管理：CMDB提供准确的资源清单、配置项及其关系，是容量分析的基础。</w:t>
      </w:r>
    </w:p>
    <w:p w14:paraId="4A7E02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服务可用性和连续性管理：充足的容量是达成高可用性和实现灾难恢复策略（如冗余）的根本保障。</w:t>
      </w:r>
    </w:p>
    <w:p w14:paraId="47C0770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544"/>
      <w:r>
        <w:rPr>
          <w:rFonts w:hint="eastAsia"/>
          <w:lang w:val="en-US" w:eastAsia="zh-CN"/>
        </w:rPr>
        <w:t>考核指标</w:t>
      </w:r>
      <w:bookmarkEnd w:id="16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00B1C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50EA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22A6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6B3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AE35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4DC9E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2DF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容量事件数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665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BE9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数量，因容量导致的事件次数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61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0F0ABE5D">
      <w:pPr>
        <w:pStyle w:val="28"/>
        <w:bidi w:val="0"/>
        <w:rPr>
          <w:rFonts w:hint="default"/>
          <w:lang w:val="en-US" w:eastAsia="zh-CN"/>
        </w:rPr>
      </w:pPr>
      <w:bookmarkStart w:id="17" w:name="_Toc20451"/>
      <w:r>
        <w:rPr>
          <w:rFonts w:hint="default"/>
          <w:lang w:val="en-US" w:eastAsia="zh-CN"/>
        </w:rPr>
        <w:t>附则</w:t>
      </w:r>
      <w:bookmarkEnd w:id="17"/>
    </w:p>
    <w:p w14:paraId="5659D4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本制度由运维部负责解释与修订。</w:t>
      </w:r>
    </w:p>
    <w:p w14:paraId="30452B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本制度自发布之日起生效。</w:t>
      </w:r>
    </w:p>
    <w:p w14:paraId="0F5292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本制度涉及的《容量分析报告》、《容量管理计划》等模板，由运维部制定与维护。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651B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95C717D"/>
    <w:multiLevelType w:val="singleLevel"/>
    <w:tmpl w:val="795C71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80623A"/>
    <w:rsid w:val="309F1F4A"/>
    <w:rsid w:val="43E22B56"/>
    <w:rsid w:val="48E0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2358</Words>
  <Characters>2493</Characters>
  <Lines>0</Lines>
  <Paragraphs>0</Paragraphs>
  <TotalTime>0</TotalTime>
  <ScaleCrop>false</ScaleCrop>
  <LinksUpToDate>false</LinksUpToDate>
  <CharactersWithSpaces>2579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2026-04-24T17:38:28Z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