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BD2239A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8430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 w14:paraId="49D792BA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4200"/>
      <w:r>
        <w:rPr>
          <w:rFonts w:hint="eastAsia"/>
          <w:lang w:val="en-US" w:eastAsia="zh-CN"/>
        </w:rPr>
        <w:t>运维服务技术成果应用管理制度</w:t>
      </w:r>
      <w:bookmarkEnd w:id="1"/>
    </w:p>
    <w:p w14:paraId="6A65CAC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7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0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39CED4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3B1455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研发部</w:t>
            </w:r>
          </w:p>
        </w:tc>
        <w:tc>
          <w:tcPr>
            <w:tcW w:w="2708" w:type="dxa"/>
          </w:tcPr>
          <w:p w14:paraId="62E2831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4DC9BC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44F580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V2.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383D76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134DEB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182B53F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6B9A43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71E00EC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248E10E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806"/>
        <w:gridCol w:w="1598"/>
        <w:gridCol w:w="1606"/>
        <w:gridCol w:w="915"/>
      </w:tblGrid>
      <w:tr w14:paraId="492674E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613C548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0026E8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806" w:type="dxa"/>
          </w:tcPr>
          <w:p w14:paraId="16C6C79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598" w:type="dxa"/>
          </w:tcPr>
          <w:p w14:paraId="37CF2AF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4EF1C1A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451EAFA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366416B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69476CA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2022.6.20</w:t>
            </w:r>
          </w:p>
        </w:tc>
        <w:tc>
          <w:tcPr>
            <w:tcW w:w="972" w:type="dxa"/>
          </w:tcPr>
          <w:p w14:paraId="4062CC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.0</w:t>
            </w:r>
          </w:p>
        </w:tc>
        <w:tc>
          <w:tcPr>
            <w:tcW w:w="1806" w:type="dxa"/>
          </w:tcPr>
          <w:p w14:paraId="3030444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598" w:type="dxa"/>
          </w:tcPr>
          <w:p w14:paraId="17AD573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吴桀</w:t>
            </w:r>
          </w:p>
        </w:tc>
        <w:tc>
          <w:tcPr>
            <w:tcW w:w="1606" w:type="dxa"/>
          </w:tcPr>
          <w:p w14:paraId="29450E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</w:tcPr>
          <w:p w14:paraId="29EF539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532DE7A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  <w:shd w:val="clear" w:color="auto" w:fill="auto"/>
          </w:tcPr>
          <w:p w14:paraId="2B0C6BC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 w14:paraId="3C07781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.0</w:t>
            </w:r>
          </w:p>
        </w:tc>
        <w:tc>
          <w:tcPr>
            <w:tcW w:w="1806" w:type="dxa"/>
            <w:shd w:val="clear" w:color="auto" w:fill="auto"/>
          </w:tcPr>
          <w:p w14:paraId="35E367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添加知识产权保护</w:t>
            </w:r>
          </w:p>
        </w:tc>
        <w:tc>
          <w:tcPr>
            <w:tcW w:w="1598" w:type="dxa"/>
            <w:shd w:val="clear" w:color="auto" w:fill="auto"/>
          </w:tcPr>
          <w:p w14:paraId="3CE7D6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吴桀</w:t>
            </w:r>
          </w:p>
        </w:tc>
        <w:tc>
          <w:tcPr>
            <w:tcW w:w="1606" w:type="dxa"/>
            <w:shd w:val="clear" w:color="auto" w:fill="auto"/>
          </w:tcPr>
          <w:p w14:paraId="1568BA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 w14:paraId="6AD2B1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2DF6819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4FDBBF6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1EDFC3C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06" w:type="dxa"/>
          </w:tcPr>
          <w:p w14:paraId="47BE255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98" w:type="dxa"/>
          </w:tcPr>
          <w:p w14:paraId="05797EC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1F2BF48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6119324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B5E77B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3F05361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08AA4DA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06" w:type="dxa"/>
          </w:tcPr>
          <w:p w14:paraId="31A099B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98" w:type="dxa"/>
          </w:tcPr>
          <w:p w14:paraId="1C21C67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93F412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1D5A48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0C0C87B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7ACC8B38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3C662FB6">
          <w:pPr>
            <w:pStyle w:val="16"/>
            <w:tabs>
              <w:tab w:val="right" w:leader="dot" w:pos="8306"/>
            </w:tabs>
          </w:pPr>
          <w:bookmarkStart w:id="21" w:name="_GoBack"/>
          <w:bookmarkEnd w:id="21"/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_Toc18430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_Toc18430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977D2D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_Toc24200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运维服务技术成果应用管理制度</w:t>
          </w:r>
          <w:r>
            <w:tab/>
          </w:r>
          <w:r>
            <w:fldChar w:fldCharType="begin"/>
          </w:r>
          <w:r>
            <w:instrText xml:space="preserve"> PAGEREF _Toc24200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A97FF8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_Toc29191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_Toc29191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7AF5A5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_Toc21476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成果识别与分类</w:t>
          </w:r>
          <w:r>
            <w:tab/>
          </w:r>
          <w:r>
            <w:fldChar w:fldCharType="begin"/>
          </w:r>
          <w:r>
            <w:instrText xml:space="preserve"> PAGEREF _Toc21476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97960F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_Toc13359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成果评估与推广</w:t>
          </w:r>
          <w:r>
            <w:tab/>
          </w:r>
          <w:r>
            <w:fldChar w:fldCharType="begin"/>
          </w:r>
          <w:r>
            <w:instrText xml:space="preserve"> PAGEREF _Toc13359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780E33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_Toc12505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 </w:t>
          </w:r>
          <w:r>
            <w:rPr>
              <w:rFonts w:hint="eastAsia"/>
              <w:lang w:val="en-US" w:eastAsia="zh-CN"/>
            </w:rPr>
            <w:t>内部评估</w:t>
          </w:r>
          <w:r>
            <w:tab/>
          </w:r>
          <w:r>
            <w:fldChar w:fldCharType="begin"/>
          </w:r>
          <w:r>
            <w:instrText xml:space="preserve"> PAGEREF _Toc12505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84D59F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_Toc5294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 </w:t>
          </w:r>
          <w:r>
            <w:rPr>
              <w:rFonts w:hint="eastAsia"/>
              <w:lang w:val="en-US" w:eastAsia="zh-CN"/>
            </w:rPr>
            <w:t>推广计划</w:t>
          </w:r>
          <w:r>
            <w:tab/>
          </w:r>
          <w:r>
            <w:fldChar w:fldCharType="begin"/>
          </w:r>
          <w:r>
            <w:instrText xml:space="preserve"> PAGEREF _Toc5294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DA362D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_Toc1126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3.3. </w:t>
          </w:r>
          <w:r>
            <w:rPr>
              <w:rFonts w:hint="eastAsia"/>
              <w:lang w:val="en-US" w:eastAsia="zh-CN"/>
            </w:rPr>
            <w:t>试点应用</w:t>
          </w:r>
          <w:r>
            <w:tab/>
          </w:r>
          <w:r>
            <w:fldChar w:fldCharType="begin"/>
          </w:r>
          <w:r>
            <w:instrText xml:space="preserve"> PAGEREF _Toc1126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CCE28A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_Toc10628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成果转化与实施</w:t>
          </w:r>
          <w:r>
            <w:tab/>
          </w:r>
          <w:r>
            <w:fldChar w:fldCharType="begin"/>
          </w:r>
          <w:r>
            <w:instrText xml:space="preserve"> PAGEREF _Toc10628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D730C8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_Toc19336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成果移交</w:t>
          </w:r>
          <w:r>
            <w:tab/>
          </w:r>
          <w:r>
            <w:fldChar w:fldCharType="begin"/>
          </w:r>
          <w:r>
            <w:instrText xml:space="preserve"> PAGEREF _Toc19336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54C89F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_Toc9936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培训支持</w:t>
          </w:r>
          <w:r>
            <w:tab/>
          </w:r>
          <w:r>
            <w:fldChar w:fldCharType="begin"/>
          </w:r>
          <w:r>
            <w:instrText xml:space="preserve"> PAGEREF _Toc9936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E82406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_Toc12460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部署上线</w:t>
          </w:r>
          <w:r>
            <w:tab/>
          </w:r>
          <w:r>
            <w:fldChar w:fldCharType="begin"/>
          </w:r>
          <w:r>
            <w:instrText xml:space="preserve"> PAGEREF _Toc12460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3F2AE0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_Toc24815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成果运维与迭代</w:t>
          </w:r>
          <w:r>
            <w:tab/>
          </w:r>
          <w:r>
            <w:fldChar w:fldCharType="begin"/>
          </w:r>
          <w:r>
            <w:instrText xml:space="preserve"> PAGEREF _Toc24815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073F0F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_Toc17365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运维责任</w:t>
          </w:r>
          <w:r>
            <w:tab/>
          </w:r>
          <w:r>
            <w:fldChar w:fldCharType="begin"/>
          </w:r>
          <w:r>
            <w:instrText xml:space="preserve"> PAGEREF _Toc17365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602939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_Toc26756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反馈机制</w:t>
          </w:r>
          <w:r>
            <w:tab/>
          </w:r>
          <w:r>
            <w:fldChar w:fldCharType="begin"/>
          </w:r>
          <w:r>
            <w:instrText xml:space="preserve"> PAGEREF _Toc26756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85BDF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_Toc22785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5.3. </w:t>
          </w:r>
          <w:r>
            <w:rPr>
              <w:rFonts w:hint="eastAsia"/>
              <w:lang w:val="en-US" w:eastAsia="zh-CN"/>
            </w:rPr>
            <w:t>持续改进</w:t>
          </w:r>
          <w:r>
            <w:tab/>
          </w:r>
          <w:r>
            <w:fldChar w:fldCharType="begin"/>
          </w:r>
          <w:r>
            <w:instrText xml:space="preserve"> PAGEREF _Toc22785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05B5DC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_Toc22493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成果效益评估</w:t>
          </w:r>
          <w:r>
            <w:tab/>
          </w:r>
          <w:r>
            <w:fldChar w:fldCharType="begin"/>
          </w:r>
          <w:r>
            <w:instrText xml:space="preserve"> PAGEREF _Toc22493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AD81D6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_Toc26245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6.1. </w:t>
          </w:r>
          <w:r>
            <w:rPr>
              <w:rFonts w:hint="eastAsia"/>
              <w:lang w:val="en-US" w:eastAsia="zh-CN"/>
            </w:rPr>
            <w:t>评估周期</w:t>
          </w:r>
          <w:r>
            <w:tab/>
          </w:r>
          <w:r>
            <w:fldChar w:fldCharType="begin"/>
          </w:r>
          <w:r>
            <w:instrText xml:space="preserve"> PAGEREF _Toc26245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B229DA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_Toc25672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6.2. </w:t>
          </w:r>
          <w:r>
            <w:rPr>
              <w:rFonts w:hint="eastAsia"/>
              <w:lang w:val="en-US" w:eastAsia="zh-CN"/>
            </w:rPr>
            <w:t>评估内容</w:t>
          </w:r>
          <w:r>
            <w:tab/>
          </w:r>
          <w:r>
            <w:fldChar w:fldCharType="begin"/>
          </w:r>
          <w:r>
            <w:instrText xml:space="preserve"> PAGEREF _Toc25672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6CCDF6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_Toc19322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6.3. </w:t>
          </w:r>
          <w:r>
            <w:rPr>
              <w:rFonts w:hint="eastAsia"/>
              <w:lang w:val="en-US" w:eastAsia="zh-CN"/>
            </w:rPr>
            <w:t>评估报告</w:t>
          </w:r>
          <w:r>
            <w:tab/>
          </w:r>
          <w:r>
            <w:fldChar w:fldCharType="begin"/>
          </w:r>
          <w:r>
            <w:instrText xml:space="preserve"> PAGEREF _Toc19322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2C76ED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_Toc7005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知识产权保护</w:t>
          </w:r>
          <w:r>
            <w:tab/>
          </w:r>
          <w:r>
            <w:fldChar w:fldCharType="begin"/>
          </w:r>
          <w:r>
            <w:instrText xml:space="preserve"> PAGEREF _Toc7005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DDB625C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6AD7A06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488D717F">
      <w:pPr>
        <w:pStyle w:val="28"/>
        <w:bidi w:val="0"/>
        <w:rPr>
          <w:rFonts w:hint="default"/>
          <w:lang w:val="en-US" w:eastAsia="zh-CN"/>
        </w:rPr>
      </w:pPr>
      <w:bookmarkStart w:id="2" w:name="_Toc29191"/>
      <w:r>
        <w:rPr>
          <w:rFonts w:hint="eastAsia"/>
          <w:lang w:val="en-US" w:eastAsia="zh-CN"/>
        </w:rPr>
        <w:t>目的</w:t>
      </w:r>
      <w:bookmarkEnd w:id="2"/>
    </w:p>
    <w:p w14:paraId="0E8F493A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为促进技术研发成果的有效转化与价值实现，规范成果应用流程，确保技术成果在业务运营、服务交付及市场拓展中发挥实际作用，特制定本章节内容。</w:t>
      </w:r>
    </w:p>
    <w:p w14:paraId="65230B5C">
      <w:pPr>
        <w:pStyle w:val="28"/>
        <w:bidi w:val="0"/>
        <w:rPr>
          <w:rFonts w:hint="eastAsia"/>
          <w:lang w:val="en-US" w:eastAsia="zh-CN"/>
        </w:rPr>
      </w:pPr>
      <w:bookmarkStart w:id="3" w:name="_Toc21476"/>
      <w:r>
        <w:rPr>
          <w:rFonts w:hint="eastAsia"/>
          <w:lang w:val="en-US" w:eastAsia="zh-CN"/>
        </w:rPr>
        <w:t>成果识别与分类</w:t>
      </w:r>
      <w:bookmarkEnd w:id="3"/>
    </w:p>
    <w:p w14:paraId="37FBEB3E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研发项目交付的技术成果包括但不限于以下类别：</w:t>
      </w:r>
    </w:p>
    <w:p w14:paraId="6C9B85CC">
      <w:pPr>
        <w:pStyle w:val="29"/>
        <w:numPr>
          <w:ilvl w:val="0"/>
          <w:numId w:val="2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软件系统/工具：运维自动化工具、监控平台、数据分析系统等。</w:t>
      </w:r>
    </w:p>
    <w:p w14:paraId="04E4806B">
      <w:pPr>
        <w:pStyle w:val="29"/>
        <w:numPr>
          <w:ilvl w:val="0"/>
          <w:numId w:val="2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技术组件/模块：可复用的算法、接口、中间件等。</w:t>
      </w:r>
    </w:p>
    <w:p w14:paraId="25299920">
      <w:pPr>
        <w:pStyle w:val="29"/>
        <w:numPr>
          <w:ilvl w:val="0"/>
          <w:numId w:val="2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解决方案/方法论：针对特定业务场景的技术解决方案或管理方法。</w:t>
      </w:r>
    </w:p>
    <w:p w14:paraId="1BBC61CF">
      <w:pPr>
        <w:pStyle w:val="29"/>
        <w:numPr>
          <w:ilvl w:val="0"/>
          <w:numId w:val="2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知识产权：软件著作权、专利、技术标准等。</w:t>
      </w:r>
    </w:p>
    <w:p w14:paraId="5A272397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项目经理应在项目结项前组织识别并汇总本项目的技术成果清单，形成《技术成果清单》作为项目交付物之一。</w:t>
      </w:r>
    </w:p>
    <w:p w14:paraId="22BBCE78">
      <w:pPr>
        <w:pStyle w:val="28"/>
        <w:bidi w:val="0"/>
        <w:rPr>
          <w:rFonts w:hint="eastAsia"/>
          <w:lang w:val="en-US" w:eastAsia="zh-CN"/>
        </w:rPr>
      </w:pPr>
      <w:bookmarkStart w:id="4" w:name="_Toc13359"/>
      <w:r>
        <w:rPr>
          <w:rFonts w:hint="eastAsia"/>
          <w:lang w:val="en-US" w:eastAsia="zh-CN"/>
        </w:rPr>
        <w:t>成果评估与推广</w:t>
      </w:r>
      <w:bookmarkEnd w:id="4"/>
    </w:p>
    <w:p w14:paraId="01A64B32">
      <w:pPr>
        <w:pStyle w:val="30"/>
        <w:bidi w:val="0"/>
        <w:rPr>
          <w:rFonts w:hint="eastAsia"/>
          <w:lang w:val="en-US" w:eastAsia="zh-CN"/>
        </w:rPr>
      </w:pPr>
      <w:bookmarkStart w:id="5" w:name="_Toc12505"/>
      <w:r>
        <w:rPr>
          <w:rFonts w:hint="eastAsia"/>
          <w:lang w:val="en-US" w:eastAsia="zh-CN"/>
        </w:rPr>
        <w:t>内部评估</w:t>
      </w:r>
      <w:bookmarkEnd w:id="5"/>
    </w:p>
    <w:p w14:paraId="639B14AA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研发部组织相关部门对技术成果进行评审，评估其技术成熟度、适用场景、预期效益及推广可行性。</w:t>
      </w:r>
    </w:p>
    <w:p w14:paraId="50CF199F">
      <w:pPr>
        <w:pStyle w:val="30"/>
        <w:bidi w:val="0"/>
        <w:rPr>
          <w:rFonts w:hint="eastAsia"/>
          <w:lang w:val="en-US" w:eastAsia="zh-CN"/>
        </w:rPr>
      </w:pPr>
      <w:bookmarkStart w:id="6" w:name="_Toc5294"/>
      <w:r>
        <w:rPr>
          <w:rFonts w:hint="eastAsia"/>
          <w:lang w:val="en-US" w:eastAsia="zh-CN"/>
        </w:rPr>
        <w:t>推广计划</w:t>
      </w:r>
      <w:bookmarkEnd w:id="6"/>
    </w:p>
    <w:p w14:paraId="536289F4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对具备推广价值的成果，制定《技术成果推广计划》，明确推广目标、责任部门、时间节点及资源支持。</w:t>
      </w:r>
    </w:p>
    <w:p w14:paraId="6D01D7A5">
      <w:pPr>
        <w:pStyle w:val="30"/>
        <w:bidi w:val="0"/>
        <w:rPr>
          <w:rFonts w:hint="eastAsia"/>
          <w:lang w:val="en-US" w:eastAsia="zh-CN"/>
        </w:rPr>
      </w:pPr>
      <w:bookmarkStart w:id="7" w:name="_Toc1126"/>
      <w:r>
        <w:rPr>
          <w:rFonts w:hint="eastAsia"/>
          <w:lang w:val="en-US" w:eastAsia="zh-CN"/>
        </w:rPr>
        <w:t>试点应用</w:t>
      </w:r>
      <w:bookmarkEnd w:id="7"/>
    </w:p>
    <w:p w14:paraId="6D429598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可优先在典型业务场景或试点项目中应用，收集使用反馈，优化成果功能与性能。</w:t>
      </w:r>
    </w:p>
    <w:p w14:paraId="7632DDEA">
      <w:pPr>
        <w:pStyle w:val="28"/>
        <w:bidi w:val="0"/>
        <w:rPr>
          <w:rFonts w:hint="eastAsia"/>
          <w:lang w:val="en-US" w:eastAsia="zh-CN"/>
        </w:rPr>
      </w:pPr>
      <w:bookmarkStart w:id="8" w:name="_Toc10628"/>
      <w:r>
        <w:rPr>
          <w:rFonts w:hint="eastAsia"/>
          <w:lang w:val="en-US" w:eastAsia="zh-CN"/>
        </w:rPr>
        <w:t>成果转化与实施</w:t>
      </w:r>
      <w:bookmarkEnd w:id="8"/>
    </w:p>
    <w:p w14:paraId="7E8010A1">
      <w:pPr>
        <w:pStyle w:val="30"/>
        <w:bidi w:val="0"/>
        <w:rPr>
          <w:rFonts w:hint="eastAsia"/>
          <w:lang w:val="en-US" w:eastAsia="zh-CN"/>
        </w:rPr>
      </w:pPr>
      <w:bookmarkStart w:id="9" w:name="_Toc19336"/>
      <w:r>
        <w:rPr>
          <w:rFonts w:hint="eastAsia"/>
          <w:lang w:val="en-US" w:eastAsia="zh-CN"/>
        </w:rPr>
        <w:t>成果移交</w:t>
      </w:r>
      <w:bookmarkEnd w:id="9"/>
    </w:p>
    <w:p w14:paraId="06F3E27C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研发项目结项后，项目组应将技术成果及相关文档移交给成果使用部门，并签署《技术成果移交清单》。</w:t>
      </w:r>
    </w:p>
    <w:p w14:paraId="28BA9FE6">
      <w:pPr>
        <w:pStyle w:val="30"/>
        <w:bidi w:val="0"/>
        <w:rPr>
          <w:rFonts w:hint="eastAsia"/>
          <w:lang w:val="en-US" w:eastAsia="zh-CN"/>
        </w:rPr>
      </w:pPr>
      <w:bookmarkStart w:id="10" w:name="_Toc9936"/>
      <w:r>
        <w:rPr>
          <w:rFonts w:hint="eastAsia"/>
          <w:lang w:val="en-US" w:eastAsia="zh-CN"/>
        </w:rPr>
        <w:t>培训支持</w:t>
      </w:r>
      <w:bookmarkEnd w:id="10"/>
    </w:p>
    <w:p w14:paraId="5E6F296E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研发项目组应为使用部门提供必要的技术培训、操作指导及初期运维支持。</w:t>
      </w:r>
    </w:p>
    <w:p w14:paraId="5A96EDBF">
      <w:pPr>
        <w:pStyle w:val="30"/>
        <w:bidi w:val="0"/>
        <w:rPr>
          <w:rFonts w:hint="eastAsia"/>
          <w:lang w:val="en-US" w:eastAsia="zh-CN"/>
        </w:rPr>
      </w:pPr>
      <w:bookmarkStart w:id="11" w:name="_Toc12460"/>
      <w:r>
        <w:rPr>
          <w:rFonts w:hint="eastAsia"/>
          <w:lang w:val="en-US" w:eastAsia="zh-CN"/>
        </w:rPr>
        <w:t>部署上线</w:t>
      </w:r>
      <w:bookmarkEnd w:id="11"/>
    </w:p>
    <w:p w14:paraId="1A80A7AA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使用部门负责成果在生产环境的部署、配置与上线，确保平稳过渡。</w:t>
      </w:r>
    </w:p>
    <w:p w14:paraId="2A197983">
      <w:pPr>
        <w:pStyle w:val="28"/>
        <w:bidi w:val="0"/>
        <w:rPr>
          <w:rFonts w:hint="eastAsia"/>
          <w:lang w:val="en-US" w:eastAsia="zh-CN"/>
        </w:rPr>
      </w:pPr>
      <w:bookmarkStart w:id="12" w:name="_Toc24815"/>
      <w:r>
        <w:rPr>
          <w:rFonts w:hint="eastAsia"/>
          <w:lang w:val="en-US" w:eastAsia="zh-CN"/>
        </w:rPr>
        <w:t>成果运维与迭代</w:t>
      </w:r>
      <w:bookmarkEnd w:id="12"/>
    </w:p>
    <w:p w14:paraId="3EC4C402">
      <w:pPr>
        <w:pStyle w:val="30"/>
        <w:bidi w:val="0"/>
        <w:rPr>
          <w:rFonts w:hint="eastAsia"/>
          <w:lang w:val="en-US" w:eastAsia="zh-CN"/>
        </w:rPr>
      </w:pPr>
      <w:bookmarkStart w:id="13" w:name="_Toc17365"/>
      <w:r>
        <w:rPr>
          <w:rFonts w:hint="eastAsia"/>
          <w:lang w:val="en-US" w:eastAsia="zh-CN"/>
        </w:rPr>
        <w:t>运维责任</w:t>
      </w:r>
      <w:bookmarkEnd w:id="13"/>
    </w:p>
    <w:p w14:paraId="1A15953F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技术成果正式投入使用后，其日常运维责任由使用部门承担，研发部门提供二线技术支持。</w:t>
      </w:r>
    </w:p>
    <w:p w14:paraId="261CAED1">
      <w:pPr>
        <w:pStyle w:val="30"/>
        <w:bidi w:val="0"/>
        <w:rPr>
          <w:rFonts w:hint="eastAsia"/>
          <w:lang w:val="en-US" w:eastAsia="zh-CN"/>
        </w:rPr>
      </w:pPr>
      <w:bookmarkStart w:id="14" w:name="_Toc26756"/>
      <w:r>
        <w:rPr>
          <w:rFonts w:hint="eastAsia"/>
          <w:lang w:val="en-US" w:eastAsia="zh-CN"/>
        </w:rPr>
        <w:t>反馈机制</w:t>
      </w:r>
      <w:bookmarkEnd w:id="14"/>
    </w:p>
    <w:p w14:paraId="57C8F484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使用部门应定期反馈成果运行情况、问题及优化建议，研发部门负责收集并评估后续迭代需求。</w:t>
      </w:r>
    </w:p>
    <w:p w14:paraId="21CB2C42">
      <w:pPr>
        <w:pStyle w:val="30"/>
        <w:bidi w:val="0"/>
        <w:rPr>
          <w:rFonts w:hint="eastAsia"/>
          <w:lang w:val="en-US" w:eastAsia="zh-CN"/>
        </w:rPr>
      </w:pPr>
      <w:bookmarkStart w:id="15" w:name="_Toc22785"/>
      <w:r>
        <w:rPr>
          <w:rFonts w:hint="eastAsia"/>
          <w:lang w:val="en-US" w:eastAsia="zh-CN"/>
        </w:rPr>
        <w:t>持续改进</w:t>
      </w:r>
      <w:bookmarkEnd w:id="15"/>
    </w:p>
    <w:p w14:paraId="10E48DE0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对已应用的技术成果，研发部门应制定迭代计划，持续优化功能、性能及用户体验。</w:t>
      </w:r>
    </w:p>
    <w:p w14:paraId="54AF06B2">
      <w:pPr>
        <w:pStyle w:val="28"/>
        <w:bidi w:val="0"/>
        <w:rPr>
          <w:rFonts w:hint="eastAsia"/>
          <w:lang w:val="en-US" w:eastAsia="zh-CN"/>
        </w:rPr>
      </w:pPr>
      <w:bookmarkStart w:id="16" w:name="_Toc22493"/>
      <w:r>
        <w:rPr>
          <w:rFonts w:hint="eastAsia"/>
          <w:lang w:val="en-US" w:eastAsia="zh-CN"/>
        </w:rPr>
        <w:t>成果效益评估</w:t>
      </w:r>
      <w:bookmarkEnd w:id="16"/>
    </w:p>
    <w:p w14:paraId="1E81175D">
      <w:pPr>
        <w:pStyle w:val="30"/>
        <w:bidi w:val="0"/>
        <w:rPr>
          <w:rFonts w:hint="eastAsia"/>
          <w:lang w:val="en-US" w:eastAsia="zh-CN"/>
        </w:rPr>
      </w:pPr>
      <w:bookmarkStart w:id="17" w:name="_Toc26245"/>
      <w:r>
        <w:rPr>
          <w:rFonts w:hint="eastAsia"/>
          <w:lang w:val="en-US" w:eastAsia="zh-CN"/>
        </w:rPr>
        <w:t>评估周期</w:t>
      </w:r>
      <w:bookmarkEnd w:id="17"/>
    </w:p>
    <w:p w14:paraId="5C044139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技术成果应用满一年或关键周期后，由研发部牵头组织效益评估。</w:t>
      </w:r>
    </w:p>
    <w:p w14:paraId="21FB5235">
      <w:pPr>
        <w:pStyle w:val="30"/>
        <w:bidi w:val="0"/>
        <w:rPr>
          <w:rFonts w:hint="eastAsia"/>
          <w:lang w:val="en-US" w:eastAsia="zh-CN"/>
        </w:rPr>
      </w:pPr>
      <w:bookmarkStart w:id="18" w:name="_Toc25672"/>
      <w:r>
        <w:rPr>
          <w:rFonts w:hint="eastAsia"/>
          <w:lang w:val="en-US" w:eastAsia="zh-CN"/>
        </w:rPr>
        <w:t>评估内容</w:t>
      </w:r>
      <w:bookmarkEnd w:id="18"/>
    </w:p>
    <w:p w14:paraId="69860111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包括但不限于：</w:t>
      </w:r>
    </w:p>
    <w:p w14:paraId="1FB75D83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技术成果的稳定性、可用性、安全性；</w:t>
      </w:r>
    </w:p>
    <w:p w14:paraId="331A10E2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对业务效率、服务质量、成本节约的实际贡献；</w:t>
      </w:r>
    </w:p>
    <w:p w14:paraId="5E0A93D9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用户满意度及使用覆盖率。</w:t>
      </w:r>
    </w:p>
    <w:p w14:paraId="28608AB6">
      <w:pPr>
        <w:pStyle w:val="30"/>
        <w:bidi w:val="0"/>
        <w:rPr>
          <w:rFonts w:hint="eastAsia"/>
          <w:lang w:val="en-US" w:eastAsia="zh-CN"/>
        </w:rPr>
      </w:pPr>
      <w:bookmarkStart w:id="19" w:name="_Toc19322"/>
      <w:r>
        <w:rPr>
          <w:rFonts w:hint="eastAsia"/>
          <w:lang w:val="en-US" w:eastAsia="zh-CN"/>
        </w:rPr>
        <w:t>评估报告</w:t>
      </w:r>
      <w:bookmarkEnd w:id="19"/>
    </w:p>
    <w:p w14:paraId="50393A42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形成《技术成果应用效益评估报告》，作为后续研发规划及资源投入的参考依据。</w:t>
      </w:r>
    </w:p>
    <w:p w14:paraId="38208C2B">
      <w:pPr>
        <w:pStyle w:val="28"/>
        <w:bidi w:val="0"/>
        <w:rPr>
          <w:rFonts w:hint="eastAsia"/>
          <w:lang w:val="en-US" w:eastAsia="zh-CN"/>
        </w:rPr>
      </w:pPr>
      <w:bookmarkStart w:id="20" w:name="_Toc7005"/>
      <w:r>
        <w:rPr>
          <w:rFonts w:hint="eastAsia"/>
          <w:lang w:val="en-US" w:eastAsia="zh-CN"/>
        </w:rPr>
        <w:t>知识产权保护</w:t>
      </w:r>
      <w:bookmarkEnd w:id="20"/>
    </w:p>
    <w:p w14:paraId="6038BA91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研发过程中产生的知识产权（如软件著作权、专利等）应按规定及时申请登记。</w:t>
      </w:r>
    </w:p>
    <w:p w14:paraId="51B78CE9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涉及对外合作或客户交付的成果，应在合同中明确知识产权归属与使用权限。</w:t>
      </w:r>
    </w:p>
    <w:p w14:paraId="0EE09599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本部分内容旨在建立技术研发成果从产出到应用的全过程管理机制，确保研发投入转化为实际业务价值，并为持续技术创新提供制度保障。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1838A5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B23A6E03"/>
    <w:multiLevelType w:val="singleLevel"/>
    <w:tmpl w:val="B23A6E0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634D4B64"/>
    <w:multiLevelType w:val="singleLevel"/>
    <w:tmpl w:val="634D4B6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35A829FD"/>
    <w:rsid w:val="6CDD4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1206</Words>
  <Characters>1313</Characters>
  <Lines>0</Lines>
  <Paragraphs>0</Paragraphs>
  <TotalTime>0</TotalTime>
  <ScaleCrop>false</ScaleCrop>
  <LinksUpToDate>false</LinksUpToDate>
  <CharactersWithSpaces>1391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2026-04-22T23:40:17Z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