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360" w:lineRule="auto"/>
        <w:rPr>
          <w:rFonts w:ascii="微软雅黑" w:hAnsi="微软雅黑"/>
        </w:rPr>
      </w:pPr>
    </w:p>
    <w:p>
      <w:pPr>
        <w:spacing w:line="360" w:lineRule="auto"/>
        <w:rPr>
          <w:rFonts w:ascii="微软雅黑" w:hAnsi="微软雅黑"/>
        </w:rPr>
      </w:pPr>
    </w:p>
    <w:p>
      <w:pPr>
        <w:autoSpaceDE w:val="0"/>
        <w:autoSpaceDN w:val="0"/>
        <w:adjustRightInd w:val="0"/>
        <w:spacing w:line="360" w:lineRule="auto"/>
        <w:ind w:firstLine="410" w:firstLineChars="195"/>
        <w:rPr>
          <w:rFonts w:ascii="微软雅黑" w:hAnsi="微软雅黑" w:cs="Calibri"/>
          <w:b/>
          <w:bCs/>
        </w:rPr>
      </w:pPr>
      <w:r>
        <w:rPr>
          <w:rFonts w:ascii="微软雅黑" w:hAnsi="微软雅黑"/>
        </w:rPr>
        <w:drawing>
          <wp:inline distT="0" distB="0" distL="0" distR="0">
            <wp:extent cx="1933575" cy="409575"/>
            <wp:effectExtent l="0" t="0" r="9525" b="9525"/>
            <wp:docPr id="6" name="图片 6" descr="http://www.chinaccs.com.cn/uploadpic/2016/6/17/16/de41e635-7cf1-424a-a609-50e5e90d89f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http://www.chinaccs.com.cn/uploadpic/2016/6/17/16/de41e635-7cf1-424a-a609-50e5e90d89fc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cs="Calibri" w:hint="eastAsia"/>
          <w:b/>
          <w:bCs/>
        </w:rPr>
        <w:t xml:space="preserve">                                           </w:t>
      </w:r>
    </w:p>
    <w:p>
      <w:pPr>
        <w:autoSpaceDE w:val="0"/>
        <w:autoSpaceDN w:val="0"/>
        <w:adjustRightInd w:val="0"/>
        <w:spacing w:line="360" w:lineRule="auto"/>
        <w:jc w:val="center"/>
        <w:rPr>
          <w:rFonts w:ascii="微软雅黑" w:hAnsi="微软雅黑" w:cs="Calibri"/>
          <w:b/>
          <w:bCs/>
        </w:rPr>
      </w:pPr>
    </w:p>
    <w:p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>
      <w:pPr>
        <w:spacing w:line="360" w:lineRule="auto"/>
        <w:jc w:val="center"/>
        <w:rPr>
          <w:rFonts w:ascii="微软雅黑" w:hAnsi="微软雅黑" w:eastAsiaTheme="minorEastAsia" w:cs="Arial" w:hint="default"/>
          <w:b/>
          <w:lang w:val="en-US" w:eastAsia="zh-CN"/>
        </w:rPr>
      </w:pPr>
      <w:r>
        <w:rPr>
          <w:rFonts w:ascii="微软雅黑" w:hAnsi="微软雅黑" w:hint="eastAsia"/>
          <w:b/>
          <w:bCs/>
          <w:sz w:val="52"/>
          <w:szCs w:val="52"/>
          <w:lang w:val="en-US" w:eastAsia="zh-CN"/>
        </w:rPr>
        <w:t>财务机器人系列运维手册</w:t>
      </w:r>
    </w:p>
    <w:p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>
      <w:pPr>
        <w:spacing w:line="360" w:lineRule="auto"/>
        <w:jc w:val="center"/>
        <w:rPr>
          <w:rFonts w:ascii="微软雅黑" w:hAnsi="微软雅黑" w:cs="Arial"/>
          <w:b/>
        </w:rPr>
      </w:pPr>
      <w:r>
        <w:rPr>
          <w:rFonts w:ascii="微软雅黑" w:hAnsi="微软雅黑" w:cs="Arial" w:hint="eastAsia"/>
          <w:b/>
        </w:rPr>
        <w:t>中国通信服务股份有限公司</w:t>
      </w:r>
    </w:p>
    <w:p>
      <w:pPr>
        <w:spacing w:line="360" w:lineRule="auto"/>
        <w:jc w:val="center"/>
        <w:rPr>
          <w:rFonts w:ascii="微软雅黑" w:hAnsi="微软雅黑" w:cs="Calibri"/>
          <w:b/>
          <w:bCs/>
          <w:color w:val="1F497D"/>
        </w:rPr>
      </w:pPr>
      <w:r>
        <w:rPr>
          <w:rFonts w:ascii="微软雅黑" w:hAnsi="微软雅黑" w:hint="eastAsia"/>
          <w:b/>
        </w:rPr>
        <w:t>202</w:t>
      </w:r>
      <w:r>
        <w:rPr>
          <w:rFonts w:ascii="微软雅黑" w:hAnsi="微软雅黑" w:hint="eastAsia"/>
          <w:b/>
          <w:lang w:val="en-US" w:eastAsia="zh-CN"/>
        </w:rPr>
        <w:t>5</w:t>
      </w:r>
      <w:r>
        <w:rPr>
          <w:rFonts w:ascii="微软雅黑" w:hAnsi="微软雅黑"/>
          <w:b/>
        </w:rPr>
        <w:t>年</w:t>
      </w:r>
      <w:bookmarkStart w:id="0" w:name="_GoBack"/>
      <w:bookmarkEnd w:id="0"/>
    </w:p>
    <w:p/>
    <w:p/>
    <w:p/>
    <w:p/>
    <w:p/>
    <w:p>
      <w:pPr>
        <w:pStyle w:val="Heading1"/>
      </w:pPr>
      <w:r>
        <w:rPr>
          <w:rFonts w:hint="eastAsia"/>
        </w:rPr>
        <w:t>使用流程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 w:line="360" w:lineRule="auto"/>
        <w:rPr>
          <w:rFonts w:ascii="微软雅黑" w:eastAsia="微软雅黑" w:hAnsi="微软雅黑"/>
          <w:color w:val="222222"/>
        </w:rPr>
      </w:pPr>
      <w:r>
        <w:rPr>
          <w:rFonts w:ascii="微软雅黑" w:eastAsia="微软雅黑" w:hAnsi="微软雅黑" w:hint="eastAsia"/>
          <w:color w:val="222222"/>
        </w:rPr>
        <w:t>操作人员登录机器人平台并执行往来核销功能；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 w:line="360" w:lineRule="auto"/>
        <w:rPr>
          <w:rFonts w:ascii="微软雅黑" w:eastAsia="微软雅黑" w:hAnsi="微软雅黑"/>
          <w:color w:val="222222"/>
        </w:rPr>
      </w:pPr>
      <w:r>
        <w:rPr>
          <w:rFonts w:ascii="微软雅黑" w:eastAsia="微软雅黑" w:hAnsi="微软雅黑" w:hint="eastAsia"/>
          <w:color w:val="222222"/>
        </w:rPr>
        <w:t>机器人自动登录SAP导出应收、应付、预收、预付信息；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 w:line="360" w:lineRule="auto"/>
        <w:rPr>
          <w:rFonts w:ascii="微软雅黑" w:eastAsia="微软雅黑" w:hAnsi="微软雅黑"/>
          <w:color w:val="222222"/>
        </w:rPr>
      </w:pPr>
      <w:r>
        <w:rPr>
          <w:rFonts w:ascii="微软雅黑" w:eastAsia="微软雅黑" w:hAnsi="微软雅黑" w:hint="eastAsia"/>
          <w:color w:val="222222"/>
        </w:rPr>
        <w:t>机器人自动登录翔云系统导出收款、付款、收票、开票信息；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 w:line="360" w:lineRule="auto"/>
        <w:rPr>
          <w:rFonts w:ascii="微软雅黑" w:eastAsia="微软雅黑" w:hAnsi="微软雅黑"/>
          <w:color w:val="222222"/>
        </w:rPr>
      </w:pPr>
      <w:r>
        <w:rPr>
          <w:rFonts w:ascii="微软雅黑" w:eastAsia="微软雅黑" w:hAnsi="微软雅黑" w:hint="eastAsia"/>
          <w:color w:val="222222"/>
        </w:rPr>
        <w:t>机器人自动整理待核销数据；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 w:line="360" w:lineRule="auto"/>
        <w:rPr>
          <w:rFonts w:ascii="微软雅黑" w:eastAsia="微软雅黑" w:hAnsi="微软雅黑"/>
          <w:color w:val="222222"/>
        </w:rPr>
      </w:pPr>
      <w:r>
        <w:rPr>
          <w:rFonts w:ascii="微软雅黑" w:eastAsia="微软雅黑" w:hAnsi="微软雅黑" w:hint="eastAsia"/>
          <w:color w:val="222222"/>
        </w:rPr>
        <w:t>机器人自动登录翔云系统发起往来核销流程；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 w:line="360" w:lineRule="auto"/>
        <w:rPr>
          <w:rFonts w:ascii="微软雅黑" w:eastAsia="微软雅黑" w:hAnsi="微软雅黑"/>
          <w:color w:val="222222"/>
        </w:rPr>
      </w:pPr>
      <w:r>
        <w:rPr>
          <w:rFonts w:ascii="微软雅黑" w:eastAsia="微软雅黑" w:hAnsi="微软雅黑" w:hint="eastAsia"/>
          <w:color w:val="222222"/>
        </w:rPr>
        <w:t>机器人自动将往来核销结果通过翔云邮箱反馈给指定人员；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 w:line="360" w:lineRule="auto"/>
        <w:rPr>
          <w:rFonts w:ascii="微软雅黑" w:eastAsia="微软雅黑" w:hAnsi="微软雅黑"/>
          <w:color w:val="222222"/>
        </w:rPr>
      </w:pPr>
      <w:r>
        <w:rPr>
          <w:rFonts w:ascii="微软雅黑" w:eastAsia="微软雅黑" w:hAnsi="微软雅黑" w:hint="eastAsia"/>
          <w:color w:val="222222"/>
        </w:rPr>
        <w:t>财务人员进行往来核销流程审批并财务复核。</w:t>
      </w:r>
    </w:p>
    <w:p>
      <w:pPr>
        <w:pStyle w:val="Heading2"/>
      </w:pPr>
      <w:r>
        <w:rPr>
          <w:rFonts w:hint="eastAsia"/>
        </w:rPr>
        <w:t>一、环境准备（初始化一次即可）</w:t>
      </w:r>
    </w:p>
    <w:p>
      <w:pPr>
        <w:pStyle w:val="ListParagraph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系统账号配置表必须完成配置</w:t>
      </w:r>
    </w:p>
    <w:p>
      <w:pPr>
        <w:pStyle w:val="ListParagraph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系统登陆前需确认有</w:t>
      </w:r>
      <w:r>
        <w:rPr>
          <w:rFonts w:hint="eastAsia"/>
          <w:lang w:val="en-US" w:eastAsia="zh-CN"/>
        </w:rPr>
        <w:t>零信任</w:t>
      </w:r>
      <w:r>
        <w:rPr>
          <w:rFonts w:hint="eastAsia"/>
          <w:lang w:eastAsia="zh-CN"/>
        </w:rPr>
        <w:t xml:space="preserve"> </w:t>
      </w:r>
    </w:p>
    <w:p>
      <w:pPr>
        <w:pStyle w:val="ListParagraph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翔云账号可以查询“采购付款查询报表、收票查询报表、收款确认查询报表、开票查询报表”的权限</w:t>
      </w:r>
    </w:p>
    <w:p>
      <w:pPr>
        <w:pStyle w:val="ListParagraph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SAP账号可以查询ZFI002事物代码</w:t>
      </w:r>
    </w:p>
    <w:p>
      <w:pPr>
        <w:pStyle w:val="ListParagraph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往来核销流程增加发起人审批节点</w:t>
      </w:r>
    </w:p>
    <w:p>
      <w:pPr>
        <w:pStyle w:val="Heading2"/>
      </w:pPr>
      <w:r>
        <w:rPr>
          <w:rFonts w:hint="eastAsia"/>
        </w:rPr>
        <w:t>二、启用往来核销机器人</w:t>
      </w:r>
    </w:p>
    <w:p>
      <w:pPr>
        <w:pStyle w:val="ListParagraph"/>
        <w:numPr>
          <w:ilvl w:val="0"/>
          <w:numId w:val="3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在使用财务机器人之前，需做以下准备：</w:t>
      </w:r>
    </w:p>
    <w:p>
      <w:pPr>
        <w:pStyle w:val="ListParagraph"/>
        <w:numPr>
          <w:ilvl w:val="0"/>
          <w:numId w:val="4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必须先登录</w:t>
      </w:r>
      <w:r>
        <w:rPr>
          <w:rFonts w:hint="eastAsia"/>
          <w:lang w:val="en-US" w:eastAsia="zh-CN"/>
        </w:rPr>
        <w:t>零信任</w:t>
      </w:r>
      <w:r>
        <w:rPr>
          <w:rFonts w:hint="eastAsia"/>
          <w:lang w:eastAsia="zh-CN"/>
        </w:rPr>
        <w:t>。</w:t>
      </w:r>
    </w:p>
    <w:p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  <w:lang w:eastAsia="zh-CN"/>
        </w:rPr>
        <w:t>打开浏览器（最好是Chrome</w:t>
      </w:r>
      <w:r>
        <w:rPr>
          <w:lang w:eastAsia="zh-CN"/>
        </w:rPr>
        <w:t>.F</w:t>
      </w:r>
      <w:r>
        <w:rPr>
          <w:rFonts w:hint="eastAsia"/>
          <w:lang w:eastAsia="zh-CN"/>
        </w:rPr>
        <w:t>ire</w:t>
      </w:r>
      <w:r>
        <w:rPr>
          <w:lang w:eastAsia="zh-CN"/>
        </w:rPr>
        <w:t>fox</w:t>
      </w:r>
      <w:r>
        <w:rPr>
          <w:rFonts w:hint="eastAsia"/>
          <w:lang w:eastAsia="zh-CN"/>
        </w:rPr>
        <w:t>）</w:t>
      </w:r>
      <w:r>
        <w:rPr>
          <w:lang w:eastAsia="zh-CN"/>
        </w:rPr>
        <w:t xml:space="preserve"> </w:t>
      </w:r>
    </w:p>
    <w:p>
      <w:r>
        <w:drawing>
          <wp:inline distT="0" distB="0" distL="0" distR="0">
            <wp:extent cx="5274310" cy="31438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ListParagraph"/>
        <w:numPr>
          <w:ilvl w:val="0"/>
          <w:numId w:val="5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输入用户名、密码、验证码点击登录</w:t>
      </w:r>
    </w:p>
    <w:p>
      <w:pPr>
        <w:pStyle w:val="ListParagraph"/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登录地址：</w:t>
      </w:r>
      <w:r>
        <w:fldChar w:fldCharType="begin"/>
      </w:r>
      <w:r>
        <w:instrText xml:space="preserve"> HYPERLINK "https://rparobot.chinaccs.cn:8082/micro/" \l "/login" </w:instrText>
      </w:r>
      <w:r>
        <w:fldChar w:fldCharType="separate"/>
      </w:r>
      <w:r>
        <w:rPr>
          <w:rStyle w:val="Hyperlink"/>
          <w:lang w:eastAsia="zh-CN"/>
        </w:rPr>
        <w:t>财务机器人 (chinaccs.cn)</w:t>
      </w:r>
      <w:r>
        <w:rPr>
          <w:rStyle w:val="Hyperlink"/>
          <w:lang w:eastAsia="zh-CN"/>
        </w:rPr>
        <w:fldChar w:fldCharType="end"/>
      </w:r>
    </w:p>
    <w:p>
      <w:pPr>
        <w:pStyle w:val="ListParagraph"/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账号为收集表中授权用户</w:t>
      </w:r>
    </w:p>
    <w:p>
      <w:pPr>
        <w:pStyle w:val="ListParagraph"/>
        <w:numPr>
          <w:ilvl w:val="0"/>
          <w:numId w:val="5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进入首页之后，选择左侧“财务机器人”，点击右侧“往来核销机器人”的执行按钮</w:t>
      </w:r>
    </w:p>
    <w:p>
      <w:pPr>
        <w:pStyle w:val="ListParagraph"/>
        <w:ind w:left="470" w:firstLine="0" w:firstLineChars="0"/>
        <w:rPr>
          <w:lang w:eastAsia="zh-CN"/>
        </w:rPr>
      </w:pPr>
    </w:p>
    <w:p>
      <w:r>
        <w:drawing>
          <wp:inline distT="0" distB="0" distL="0" distR="0">
            <wp:extent cx="5274310" cy="236728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ind w:left="110" w:firstLineChars="0"/>
        <w:rPr>
          <w:lang w:eastAsia="zh-CN"/>
        </w:rPr>
      </w:pPr>
      <w:r>
        <w:rPr>
          <w:rFonts w:hint="eastAsia"/>
          <w:lang w:eastAsia="zh-CN"/>
        </w:rPr>
        <w:t>填写选中红框中的基本必填信息(如：分公司代码,利润中心、翔云账号、翔云密码、附件</w:t>
      </w:r>
      <w:r>
        <w:rPr>
          <w:lang w:eastAsia="zh-CN"/>
        </w:rPr>
        <w:t>)</w:t>
      </w:r>
      <w:r>
        <w:rPr>
          <w:rFonts w:hint="eastAsia"/>
          <w:lang w:eastAsia="zh-CN"/>
        </w:rPr>
        <w:t>，</w:t>
      </w:r>
    </w:p>
    <w:p>
      <w:pPr>
        <w:pStyle w:val="ListParagraph"/>
        <w:numPr>
          <w:ilvl w:val="0"/>
          <w:numId w:val="6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分公司代码单选，选择后则机器人会查询指定公司下该登录人管理的所有数据。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翔云系统账号、密码：必填，填写后机器人将根据所填的账号登录翔云系统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年度、月份：必填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SAP账号、密码：必填，填写后机器人将根据所填的账号登录SAP系统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流程人员姓名：必填，即核销流程提交时的接收人姓名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公司简称：不必填，填写后将自动带入到往来核销单据的抬头备注中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核销方式：项目核销（即同项目同客商）、非项目核销（同客商）。默认为项目核销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是否净额核销：是、否。默认为否，广西定制。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是否发起翔云流程：是（即需要机器人发起核销流程）、否（即不需要机器人发起核销流程）。默认为是。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部门名称：不必填，可多选，如果选择后，只核销已选择的部门核销数据。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成本中心：自动根据部门名称带出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备注：不必填，仅是机器人任务的备注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创建日期：默认为当前时间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附件：上传核销项目表，不必填，即上传后，机器人只处理附件中的项目核销。</w:t>
      </w:r>
    </w:p>
    <w:p>
      <w:pPr>
        <w:pStyle w:val="ListParagraph"/>
        <w:ind w:left="110" w:firstLine="0" w:firstLineChars="0"/>
        <w:rPr>
          <w:lang w:eastAsia="zh-CN"/>
        </w:rPr>
      </w:pPr>
      <w:r>
        <w:drawing>
          <wp:inline distT="0" distB="0" distL="0" distR="0">
            <wp:extent cx="5274310" cy="401955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hint="eastAsia"/>
        </w:rPr>
        <w:t>三、查看往来核销结果表</w:t>
      </w:r>
    </w:p>
    <w:p>
      <w:pPr>
        <w:pStyle w:val="ListParagraph"/>
        <w:numPr>
          <w:ilvl w:val="0"/>
          <w:numId w:val="7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 xml:space="preserve">执行完成后，生成的结果表将发给启动人邮箱（测试环境邮箱暂未设置）。如图： </w:t>
      </w:r>
      <w:r>
        <w:rPr>
          <w:lang w:eastAsia="zh-CN"/>
        </w:rPr>
        <w:drawing>
          <wp:inline distT="0" distB="0" distL="0" distR="0">
            <wp:extent cx="5274310" cy="2529840"/>
            <wp:effectExtent l="0" t="0" r="1397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7"/>
        </w:numPr>
        <w:ind w:firstLine="0" w:firstLineChars="0"/>
        <w:rPr>
          <w:lang w:eastAsia="zh-CN"/>
        </w:rPr>
      </w:pPr>
      <w:r>
        <w:rPr>
          <w:rFonts w:hint="eastAsia"/>
          <w:lang w:eastAsia="zh-CN"/>
        </w:rPr>
        <w:t>同时系统页面也提供结果的查询和历史数据的下载，获取方式如图,在往来核销主列表，点击任务编号即可进入详情页面下载。</w:t>
      </w:r>
    </w:p>
    <w:p>
      <w:r>
        <w:drawing>
          <wp:inline distT="0" distB="0" distL="0" distR="0">
            <wp:extent cx="5274310" cy="10674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hint="eastAsia"/>
        </w:rPr>
        <w:t>四、核对结果表</w:t>
      </w:r>
    </w:p>
    <w:p>
      <w:pPr>
        <w:pStyle w:val="ListParagraph"/>
        <w:numPr>
          <w:ilvl w:val="0"/>
          <w:numId w:val="8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往来核销整体压缩包：包含SAP系统、翔云系统报表、结果表文件夹，主要看结果表。其它文件夹都是分别从SAP和翔云导出的原始数据。</w:t>
      </w:r>
    </w:p>
    <w:p>
      <w:pPr>
        <w:pStyle w:val="ListParagraph"/>
        <w:ind w:left="470" w:firstLine="0" w:firstLineChars="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274310" cy="1743075"/>
            <wp:effectExtent l="0" t="0" r="254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8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SAP系统：包含导出应付、预付、应收、预收科目余额表</w:t>
      </w:r>
    </w:p>
    <w:p>
      <w:pPr>
        <w:pStyle w:val="ListParagraph"/>
        <w:ind w:left="470" w:firstLine="0" w:firstLineChars="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274310" cy="339661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8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翔云系统报表：包含导出的采购付款、收票、收款确认、开票查询报表</w:t>
      </w:r>
    </w:p>
    <w:p>
      <w:pPr>
        <w:pStyle w:val="ListParagraph"/>
        <w:ind w:left="470" w:firstLine="0" w:firstLineChars="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274310" cy="339661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8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结果表文件夹中主要分为两类</w:t>
      </w:r>
    </w:p>
    <w:p>
      <w:pPr>
        <w:pStyle w:val="ListParagraph"/>
        <w:ind w:left="470" w:firstLine="0" w:firstLineChars="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274310" cy="339661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470" w:firstLine="0" w:firstLineChars="0"/>
        <w:rPr>
          <w:lang w:eastAsia="zh-CN"/>
        </w:rPr>
      </w:pPr>
      <w:r>
        <w:rPr>
          <w:rFonts w:hint="eastAsia"/>
          <w:lang w:eastAsia="zh-CN"/>
        </w:rPr>
        <w:t>1）第1类同一个科目的SAP与翔云数据核对的结果（为了核对业财一致）：分别是SAP科目余额应付、应收、预付、预收。</w:t>
      </w:r>
    </w:p>
    <w:p>
      <w:pPr>
        <w:pStyle w:val="ListParagraph"/>
        <w:numPr>
          <w:ilvl w:val="0"/>
          <w:numId w:val="9"/>
        </w:numPr>
        <w:ind w:firstLineChars="0"/>
        <w:rPr>
          <w:lang w:eastAsia="zh-CN"/>
        </w:rPr>
      </w:pPr>
      <w:r>
        <w:rPr>
          <w:rFonts w:hint="eastAsia"/>
          <w:b/>
          <w:lang w:eastAsia="zh-CN"/>
        </w:rPr>
        <w:t>SAP科目余额应付：</w:t>
      </w:r>
      <w:r>
        <w:rPr>
          <w:rFonts w:hint="eastAsia"/>
          <w:lang w:eastAsia="zh-CN"/>
        </w:rPr>
        <w:t>通过匹配状态查询对应的结果。如果同一个项目在SAP和翔云的累计应付金额一致，则状态为“</w:t>
      </w:r>
      <w:r>
        <w:rPr>
          <w:rFonts w:ascii="Helvetica" w:hAnsi="Helvetica" w:cs="Helvetica" w:hint="eastAsia"/>
          <w:color w:val="3C4353"/>
          <w:sz w:val="21"/>
          <w:szCs w:val="21"/>
          <w:shd w:val="clear" w:color="auto" w:fill="FFFFFF"/>
          <w:lang w:eastAsia="zh-CN"/>
        </w:rPr>
        <w:t>完全匹配，项目编号一致，累计金额相等</w:t>
      </w:r>
      <w:r>
        <w:rPr>
          <w:rFonts w:hint="eastAsia"/>
          <w:lang w:eastAsia="zh-CN"/>
        </w:rPr>
        <w:t>“，并且会标识同一个组合序号。如果同一个项目在SAP或翔云累计金额不一致，则状态为”</w:t>
      </w:r>
      <w:r>
        <w:rPr>
          <w:rFonts w:ascii="Helvetica" w:hAnsi="Helvetica" w:cs="Helvetica" w:hint="eastAsia"/>
          <w:color w:val="3C4353"/>
          <w:sz w:val="21"/>
          <w:szCs w:val="21"/>
          <w:shd w:val="clear" w:color="auto" w:fill="FFFFFF"/>
          <w:lang w:eastAsia="zh-CN"/>
        </w:rPr>
        <w:t>无法匹配，项目编号一致，累计金额不相等“</w:t>
      </w:r>
      <w:r>
        <w:rPr>
          <w:rFonts w:hint="eastAsia"/>
          <w:lang w:eastAsia="zh-CN"/>
        </w:rPr>
        <w:t>。如果同一个项目在SAP有金额翔云无金额，则状态为”</w:t>
      </w:r>
      <w:r>
        <w:rPr>
          <w:rFonts w:ascii="Helvetica" w:hAnsi="Helvetica" w:cs="Helvetica"/>
          <w:color w:val="3C4353"/>
          <w:sz w:val="21"/>
          <w:szCs w:val="21"/>
          <w:shd w:val="clear" w:color="auto" w:fill="FFFFFF"/>
          <w:lang w:eastAsia="zh-CN"/>
        </w:rPr>
        <w:t xml:space="preserve"> 无法匹配，翔云无数据</w:t>
      </w:r>
      <w:r>
        <w:rPr>
          <w:rFonts w:hint="eastAsia"/>
          <w:lang w:eastAsia="zh-CN"/>
        </w:rPr>
        <w:t>“。如图</w:t>
      </w:r>
    </w:p>
    <w:p>
      <w:pPr>
        <w:pStyle w:val="ListParagraph"/>
        <w:numPr>
          <w:ilvl w:val="0"/>
          <w:numId w:val="9"/>
        </w:numPr>
        <w:ind w:firstLineChars="0"/>
        <w:rPr>
          <w:lang w:eastAsia="zh-CN"/>
        </w:rPr>
      </w:pPr>
      <w:r>
        <w:rPr>
          <w:rFonts w:hint="eastAsia"/>
          <w:b/>
          <w:lang w:eastAsia="zh-CN"/>
        </w:rPr>
        <w:t>SAP科目余额应收、预付、预收核对方式同应付</w:t>
      </w:r>
      <w:r>
        <w:rPr>
          <w:rFonts w:hint="eastAsia"/>
          <w:lang w:eastAsia="zh-CN"/>
        </w:rPr>
        <w:t>。</w:t>
      </w:r>
    </w:p>
    <w:p>
      <w:pPr>
        <w:pStyle w:val="ListParagraph"/>
        <w:ind w:left="470" w:firstLine="0" w:firstLineChars="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274310" cy="284162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470" w:firstLine="0" w:firstLineChars="0"/>
        <w:rPr>
          <w:lang w:eastAsia="zh-CN"/>
        </w:rPr>
      </w:pPr>
    </w:p>
    <w:p>
      <w:pPr>
        <w:pStyle w:val="ListParagraph"/>
        <w:ind w:left="470" w:firstLine="0" w:firstLineChars="0"/>
        <w:rPr>
          <w:lang w:eastAsia="zh-CN"/>
        </w:rPr>
      </w:pPr>
      <w:r>
        <w:rPr>
          <w:rFonts w:hint="eastAsia"/>
          <w:lang w:eastAsia="zh-CN"/>
        </w:rPr>
        <w:t>2）第2类是将第1类核对出的业财一致的数据，按照应付：预付、应收：预收，分别按照同一个客商同一个项目整理出待核销数据：分别应收预收待核销结果表、预付应付待核销结果表。</w:t>
      </w:r>
    </w:p>
    <w:p>
      <w:pPr>
        <w:pStyle w:val="ListParagraph"/>
        <w:numPr>
          <w:ilvl w:val="0"/>
          <w:numId w:val="10"/>
        </w:numPr>
        <w:ind w:firstLineChars="0"/>
        <w:rPr>
          <w:lang w:eastAsia="zh-CN"/>
        </w:rPr>
      </w:pPr>
      <w:r>
        <w:rPr>
          <w:rFonts w:hint="eastAsia"/>
          <w:b/>
          <w:lang w:eastAsia="zh-CN"/>
        </w:rPr>
        <w:t>应收预收结果表：</w:t>
      </w:r>
      <w:r>
        <w:rPr>
          <w:rFonts w:hint="eastAsia"/>
          <w:lang w:eastAsia="zh-CN"/>
        </w:rPr>
        <w:t>通过匹配状态查询对应的结果。如果同一个项目同一个客户存在应收账款和预收账款时，则状态为“供应商、项目编号一致“，并且会标识同一个组合序号。反之则状态为”无法匹配“。</w:t>
      </w:r>
    </w:p>
    <w:p>
      <w:pPr>
        <w:pStyle w:val="ListParagraph"/>
        <w:numPr>
          <w:ilvl w:val="0"/>
          <w:numId w:val="10"/>
        </w:numPr>
        <w:ind w:firstLineChars="0"/>
        <w:rPr>
          <w:lang w:eastAsia="zh-CN"/>
        </w:rPr>
      </w:pPr>
      <w:r>
        <w:rPr>
          <w:rFonts w:hint="eastAsia"/>
          <w:b/>
          <w:lang w:eastAsia="zh-CN"/>
        </w:rPr>
        <w:t>应付预付结果表：</w:t>
      </w:r>
      <w:r>
        <w:rPr>
          <w:rFonts w:hint="eastAsia"/>
          <w:lang w:eastAsia="zh-CN"/>
        </w:rPr>
        <w:t>通过匹配状态查询对应的结果。如果同一个项目同一个客户存在应付账款和预付账款时，则状态为“供应商、项目编号一致“，并且会标识同一个组合序号。反之则状态为”无法匹配“。如图：</w:t>
      </w:r>
    </w:p>
    <w:p>
      <w:pPr>
        <w:pStyle w:val="ListParagraph"/>
        <w:ind w:left="470" w:firstLine="0" w:firstLineChars="0"/>
      </w:pPr>
      <w:r>
        <w:rPr>
          <w:lang w:eastAsia="zh-CN"/>
        </w:rPr>
        <w:drawing>
          <wp:inline distT="0" distB="0" distL="0" distR="0">
            <wp:extent cx="5274310" cy="3500120"/>
            <wp:effectExtent l="0" t="0" r="254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hint="eastAsia"/>
        </w:rPr>
        <w:t>五、常见问题</w:t>
      </w:r>
    </w:p>
    <w:p>
      <w:r>
        <w:rPr>
          <w:rFonts w:ascii="宋体" w:eastAsia="宋体" w:hAnsi="宋体" w:cs="宋体"/>
          <w:sz w:val="24"/>
          <w:szCs w:val="24"/>
        </w:rPr>
        <w:drawing>
          <wp:inline distT="0" distB="0" distL="114300" distR="114300">
            <wp:extent cx="5213985" cy="2096770"/>
            <wp:effectExtent l="0" t="0" r="13335" b="635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3985" cy="2096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1、（如上图）点击启动后页面空白。先清理浏览器缓存，如还是显示空白，可以使用下载最新的谷歌浏览器。（360卫士会自动匹配当前系统的新版本，先卸载旧版本再安装新版本，）</w:t>
      </w:r>
    </w:p>
    <w:p>
      <w:r>
        <w:rPr>
          <w:rFonts w:hint="eastAsia"/>
        </w:rPr>
        <w:t>查看浏览器版本方法</w:t>
      </w:r>
    </w:p>
    <w:p>
      <w:pPr>
        <w:widowControl/>
        <w:shd w:val="clear" w:color="auto" w:fill="FFFFFF"/>
        <w:spacing w:line="288" w:lineRule="atLeast"/>
        <w:ind w:firstLine="420" w:firstLineChars="200"/>
        <w:jc w:val="left"/>
        <w:rPr>
          <w:rFonts w:ascii="Arial" w:hAnsi="Arial" w:cs="Arial"/>
          <w:color w:val="333333"/>
          <w:sz w:val="16"/>
          <w:szCs w:val="16"/>
        </w:rPr>
      </w:pPr>
      <w:r>
        <w:rPr>
          <w:rFonts w:ascii="Arial" w:eastAsia="宋体" w:hAnsi="Arial" w:cs="Arial" w:hint="eastAsia"/>
          <w:color w:val="333333"/>
          <w:kern w:val="0"/>
          <w:sz w:val="16"/>
          <w:szCs w:val="16"/>
          <w:shd w:val="clear" w:color="auto" w:fill="FFFFFF"/>
        </w:rPr>
        <w:t>a</w:t>
      </w:r>
      <w:r>
        <w:rPr>
          <w:rFonts w:ascii="Arial" w:eastAsia="宋体" w:hAnsi="Arial" w:cs="Arial"/>
          <w:color w:val="333333"/>
          <w:kern w:val="0"/>
          <w:sz w:val="16"/>
          <w:szCs w:val="16"/>
          <w:shd w:val="clear" w:color="auto" w:fill="FFFFFF"/>
        </w:rPr>
        <w:t>双击打开电脑上的谷歌浏览器,点击右上角三个点的图标</w:t>
      </w:r>
    </w:p>
    <w:p>
      <w:pPr>
        <w:widowControl/>
        <w:shd w:val="clear" w:color="auto" w:fill="FFFFFF"/>
        <w:spacing w:line="288" w:lineRule="atLeast"/>
        <w:ind w:firstLine="420" w:firstLineChars="200"/>
        <w:jc w:val="left"/>
        <w:rPr>
          <w:rFonts w:ascii="Arial" w:hAnsi="Arial" w:cs="Arial"/>
          <w:color w:val="333333"/>
          <w:sz w:val="16"/>
          <w:szCs w:val="16"/>
        </w:rPr>
      </w:pPr>
      <w:r>
        <w:rPr>
          <w:rFonts w:ascii="Arial" w:eastAsia="宋体" w:hAnsi="Arial" w:cs="Arial" w:hint="eastAsia"/>
          <w:color w:val="333333"/>
          <w:kern w:val="0"/>
          <w:sz w:val="16"/>
          <w:szCs w:val="16"/>
          <w:shd w:val="clear" w:color="auto" w:fill="FFFFFF"/>
        </w:rPr>
        <w:t>b</w:t>
      </w:r>
      <w:r>
        <w:rPr>
          <w:rFonts w:ascii="Arial" w:eastAsia="宋体" w:hAnsi="Arial" w:cs="Arial"/>
          <w:color w:val="333333"/>
          <w:kern w:val="0"/>
          <w:sz w:val="16"/>
          <w:szCs w:val="16"/>
          <w:shd w:val="clear" w:color="auto" w:fill="FFFFFF"/>
        </w:rPr>
        <w:t>.在弹出的窗口中,找到帮助的选项,点击进入</w:t>
      </w:r>
    </w:p>
    <w:p>
      <w:pPr>
        <w:widowControl/>
        <w:shd w:val="clear" w:color="auto" w:fill="FFFFFF"/>
        <w:spacing w:line="288" w:lineRule="atLeast"/>
        <w:ind w:firstLine="420" w:firstLineChars="200"/>
        <w:jc w:val="left"/>
        <w:rPr>
          <w:rFonts w:ascii="Arial" w:hAnsi="Arial" w:cs="Arial"/>
          <w:color w:val="333333"/>
          <w:sz w:val="16"/>
          <w:szCs w:val="16"/>
        </w:rPr>
      </w:pPr>
      <w:r>
        <w:rPr>
          <w:rFonts w:ascii="Arial" w:eastAsia="宋体" w:hAnsi="Arial" w:cs="Arial" w:hint="eastAsia"/>
          <w:color w:val="333333"/>
          <w:kern w:val="0"/>
          <w:sz w:val="16"/>
          <w:szCs w:val="16"/>
          <w:shd w:val="clear" w:color="auto" w:fill="FFFFFF"/>
        </w:rPr>
        <w:t>c</w:t>
      </w:r>
      <w:r>
        <w:rPr>
          <w:rFonts w:ascii="Arial" w:eastAsia="宋体" w:hAnsi="Arial" w:cs="Arial"/>
          <w:color w:val="333333"/>
          <w:kern w:val="0"/>
          <w:sz w:val="16"/>
          <w:szCs w:val="16"/>
          <w:shd w:val="clear" w:color="auto" w:fill="FFFFFF"/>
        </w:rPr>
        <w:t>.在帮助的弹出窗中点击关于Google Chrome(G)</w:t>
      </w:r>
    </w:p>
    <w:p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drawing>
          <wp:inline distT="0" distB="0" distL="114300" distR="114300">
            <wp:extent cx="5241290" cy="2423160"/>
            <wp:effectExtent l="0" t="0" r="127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2423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</w:pPr>
      <w:r>
        <w:rPr>
          <w:rFonts w:hint="eastAsia"/>
        </w:rPr>
        <w:t>（如上图）发完补丁后第二天重新打开之前跑的流程，会出现历史记录空白。清理浏览器缓存即可。</w:t>
      </w:r>
    </w:p>
    <w:p>
      <w:pPr>
        <w:numPr>
          <w:ilvl w:val="0"/>
          <w:numId w:val="11"/>
        </w:numPr>
        <w:rPr>
          <w:color w:val="FF0000"/>
        </w:rPr>
      </w:pPr>
      <w:r>
        <w:rPr>
          <w:rFonts w:hint="eastAsia"/>
          <w:color w:val="FF0000"/>
        </w:rPr>
        <w:t>机器人在执行任务时，人工请勿切换部门，否则导致失败。</w:t>
      </w:r>
    </w:p>
    <w:p>
      <w:pPr>
        <w:numPr>
          <w:ilvl w:val="0"/>
          <w:numId w:val="11"/>
        </w:numPr>
        <w:rPr>
          <w:color w:val="FF0000"/>
        </w:rPr>
      </w:pPr>
      <w:r>
        <w:rPr>
          <w:rFonts w:hint="eastAsia"/>
          <w:color w:val="FF0000"/>
        </w:rPr>
        <w:t>机器人在执行任务时，人工请勿发起核销，否则导致失败。</w:t>
      </w:r>
    </w:p>
    <w:p>
      <w:pPr>
        <w:pStyle w:val="ListParagraph"/>
        <w:ind w:left="470" w:firstLine="0" w:firstLineChars="0"/>
        <w:rPr>
          <w:lang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C6AD89AA"/>
    <w:multiLevelType w:val="singleLevel"/>
    <w:tmpl w:val="C6AD89AA"/>
    <w:lvl w:ilvl="0">
      <w:start w:val="2"/>
      <w:numFmt w:val="decimal"/>
      <w:suff w:val="nothing"/>
      <w:lvlText w:val="%1、"/>
      <w:lvlJc w:val="left"/>
    </w:lvl>
  </w:abstractNum>
  <w:abstractNum w:abstractNumId="1">
    <w:nsid w:val="25B95C19"/>
    <w:multiLevelType w:val="multilevel"/>
    <w:tmpl w:val="25B95C19"/>
    <w:lvl w:ilvl="0">
      <w:start w:val="1"/>
      <w:numFmt w:val="bullet"/>
      <w:lvlText w:val=""/>
      <w:lvlJc w:val="left"/>
      <w:pPr>
        <w:ind w:left="89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1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3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5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7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1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3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50" w:hanging="420"/>
      </w:pPr>
      <w:rPr>
        <w:rFonts w:ascii="Wingdings" w:hAnsi="Wingdings" w:hint="default"/>
      </w:rPr>
    </w:lvl>
  </w:abstractNum>
  <w:abstractNum w:abstractNumId="2">
    <w:nsid w:val="3314390B"/>
    <w:multiLevelType w:val="multilevel"/>
    <w:tmpl w:val="3314390B"/>
    <w:lvl w:ilvl="0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0" w:hanging="420"/>
      </w:pPr>
    </w:lvl>
    <w:lvl w:ilvl="2">
      <w:start w:val="1"/>
      <w:numFmt w:val="lowerRoman"/>
      <w:lvlText w:val="%3."/>
      <w:lvlJc w:val="right"/>
      <w:pPr>
        <w:ind w:left="1370" w:hanging="420"/>
      </w:pPr>
    </w:lvl>
    <w:lvl w:ilvl="3">
      <w:start w:val="1"/>
      <w:numFmt w:val="decimal"/>
      <w:lvlText w:val="%4."/>
      <w:lvlJc w:val="left"/>
      <w:pPr>
        <w:ind w:left="1790" w:hanging="420"/>
      </w:pPr>
    </w:lvl>
    <w:lvl w:ilvl="4">
      <w:start w:val="1"/>
      <w:numFmt w:val="lowerLetter"/>
      <w:lvlText w:val="%5)"/>
      <w:lvlJc w:val="left"/>
      <w:pPr>
        <w:ind w:left="2210" w:hanging="420"/>
      </w:pPr>
    </w:lvl>
    <w:lvl w:ilvl="5">
      <w:start w:val="1"/>
      <w:numFmt w:val="lowerRoman"/>
      <w:lvlText w:val="%6."/>
      <w:lvlJc w:val="right"/>
      <w:pPr>
        <w:ind w:left="2630" w:hanging="420"/>
      </w:pPr>
    </w:lvl>
    <w:lvl w:ilvl="6">
      <w:start w:val="1"/>
      <w:numFmt w:val="decimal"/>
      <w:lvlText w:val="%7."/>
      <w:lvlJc w:val="left"/>
      <w:pPr>
        <w:ind w:left="3050" w:hanging="420"/>
      </w:pPr>
    </w:lvl>
    <w:lvl w:ilvl="7">
      <w:start w:val="1"/>
      <w:numFmt w:val="lowerLetter"/>
      <w:lvlText w:val="%8)"/>
      <w:lvlJc w:val="left"/>
      <w:pPr>
        <w:ind w:left="3470" w:hanging="420"/>
      </w:pPr>
    </w:lvl>
    <w:lvl w:ilvl="8">
      <w:start w:val="1"/>
      <w:numFmt w:val="lowerRoman"/>
      <w:lvlText w:val="%9."/>
      <w:lvlJc w:val="right"/>
      <w:pPr>
        <w:ind w:left="3890" w:hanging="420"/>
      </w:pPr>
    </w:lvl>
  </w:abstractNum>
  <w:abstractNum w:abstractNumId="3">
    <w:nsid w:val="3F014680"/>
    <w:multiLevelType w:val="multilevel"/>
    <w:tmpl w:val="3F014680"/>
    <w:lvl w:ilvl="0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">
    <w:nsid w:val="42A911E1"/>
    <w:multiLevelType w:val="multilevel"/>
    <w:tmpl w:val="42A911E1"/>
    <w:lvl w:ilvl="0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0" w:hanging="420"/>
      </w:pPr>
    </w:lvl>
    <w:lvl w:ilvl="2">
      <w:start w:val="1"/>
      <w:numFmt w:val="lowerRoman"/>
      <w:lvlText w:val="%3."/>
      <w:lvlJc w:val="right"/>
      <w:pPr>
        <w:ind w:left="1370" w:hanging="420"/>
      </w:pPr>
    </w:lvl>
    <w:lvl w:ilvl="3">
      <w:start w:val="1"/>
      <w:numFmt w:val="decimal"/>
      <w:lvlText w:val="%4."/>
      <w:lvlJc w:val="left"/>
      <w:pPr>
        <w:ind w:left="1790" w:hanging="420"/>
      </w:pPr>
    </w:lvl>
    <w:lvl w:ilvl="4">
      <w:start w:val="1"/>
      <w:numFmt w:val="lowerLetter"/>
      <w:lvlText w:val="%5)"/>
      <w:lvlJc w:val="left"/>
      <w:pPr>
        <w:ind w:left="2210" w:hanging="420"/>
      </w:pPr>
    </w:lvl>
    <w:lvl w:ilvl="5">
      <w:start w:val="1"/>
      <w:numFmt w:val="lowerRoman"/>
      <w:lvlText w:val="%6."/>
      <w:lvlJc w:val="right"/>
      <w:pPr>
        <w:ind w:left="2630" w:hanging="420"/>
      </w:pPr>
    </w:lvl>
    <w:lvl w:ilvl="6">
      <w:start w:val="1"/>
      <w:numFmt w:val="decimal"/>
      <w:lvlText w:val="%7."/>
      <w:lvlJc w:val="left"/>
      <w:pPr>
        <w:ind w:left="3050" w:hanging="420"/>
      </w:pPr>
    </w:lvl>
    <w:lvl w:ilvl="7">
      <w:start w:val="1"/>
      <w:numFmt w:val="lowerLetter"/>
      <w:lvlText w:val="%8)"/>
      <w:lvlJc w:val="left"/>
      <w:pPr>
        <w:ind w:left="3470" w:hanging="420"/>
      </w:pPr>
    </w:lvl>
    <w:lvl w:ilvl="8">
      <w:start w:val="1"/>
      <w:numFmt w:val="lowerRoman"/>
      <w:lvlText w:val="%9."/>
      <w:lvlJc w:val="right"/>
      <w:pPr>
        <w:ind w:left="3890" w:hanging="420"/>
      </w:pPr>
    </w:lvl>
  </w:abstractNum>
  <w:abstractNum w:abstractNumId="5">
    <w:nsid w:val="5A07188D"/>
    <w:multiLevelType w:val="multilevel"/>
    <w:tmpl w:val="5A07188D"/>
    <w:lvl w:ilvl="0">
      <w:start w:val="1"/>
      <w:numFmt w:val="decimal"/>
      <w:lvlText w:val="（%1）"/>
      <w:lvlJc w:val="left"/>
      <w:pPr>
        <w:ind w:left="1128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548" w:hanging="420"/>
      </w:pPr>
    </w:lvl>
    <w:lvl w:ilvl="2">
      <w:start w:val="1"/>
      <w:numFmt w:val="lowerRoman"/>
      <w:lvlText w:val="%3."/>
      <w:lvlJc w:val="right"/>
      <w:pPr>
        <w:ind w:left="1968" w:hanging="420"/>
      </w:pPr>
    </w:lvl>
    <w:lvl w:ilvl="3">
      <w:start w:val="1"/>
      <w:numFmt w:val="decimal"/>
      <w:lvlText w:val="%4."/>
      <w:lvlJc w:val="left"/>
      <w:pPr>
        <w:ind w:left="2388" w:hanging="420"/>
      </w:pPr>
    </w:lvl>
    <w:lvl w:ilvl="4">
      <w:start w:val="1"/>
      <w:numFmt w:val="lowerLetter"/>
      <w:lvlText w:val="%5)"/>
      <w:lvlJc w:val="left"/>
      <w:pPr>
        <w:ind w:left="2808" w:hanging="420"/>
      </w:pPr>
    </w:lvl>
    <w:lvl w:ilvl="5">
      <w:start w:val="1"/>
      <w:numFmt w:val="lowerRoman"/>
      <w:lvlText w:val="%6."/>
      <w:lvlJc w:val="right"/>
      <w:pPr>
        <w:ind w:left="3228" w:hanging="420"/>
      </w:pPr>
    </w:lvl>
    <w:lvl w:ilvl="6">
      <w:start w:val="1"/>
      <w:numFmt w:val="decimal"/>
      <w:lvlText w:val="%7."/>
      <w:lvlJc w:val="left"/>
      <w:pPr>
        <w:ind w:left="3648" w:hanging="420"/>
      </w:pPr>
    </w:lvl>
    <w:lvl w:ilvl="7">
      <w:start w:val="1"/>
      <w:numFmt w:val="lowerLetter"/>
      <w:lvlText w:val="%8)"/>
      <w:lvlJc w:val="left"/>
      <w:pPr>
        <w:ind w:left="4068" w:hanging="420"/>
      </w:pPr>
    </w:lvl>
    <w:lvl w:ilvl="8">
      <w:start w:val="1"/>
      <w:numFmt w:val="lowerRoman"/>
      <w:lvlText w:val="%9."/>
      <w:lvlJc w:val="right"/>
      <w:pPr>
        <w:ind w:left="4488" w:hanging="420"/>
      </w:pPr>
    </w:lvl>
  </w:abstractNum>
  <w:abstractNum w:abstractNumId="6">
    <w:nsid w:val="5A4007F1"/>
    <w:multiLevelType w:val="multilevel"/>
    <w:tmpl w:val="5A4007F1"/>
    <w:lvl w:ilvl="0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0" w:hanging="420"/>
      </w:pPr>
    </w:lvl>
    <w:lvl w:ilvl="2">
      <w:start w:val="1"/>
      <w:numFmt w:val="lowerRoman"/>
      <w:lvlText w:val="%3."/>
      <w:lvlJc w:val="right"/>
      <w:pPr>
        <w:ind w:left="1370" w:hanging="420"/>
      </w:pPr>
    </w:lvl>
    <w:lvl w:ilvl="3">
      <w:start w:val="1"/>
      <w:numFmt w:val="decimal"/>
      <w:lvlText w:val="%4."/>
      <w:lvlJc w:val="left"/>
      <w:pPr>
        <w:ind w:left="1790" w:hanging="420"/>
      </w:pPr>
    </w:lvl>
    <w:lvl w:ilvl="4">
      <w:start w:val="1"/>
      <w:numFmt w:val="lowerLetter"/>
      <w:lvlText w:val="%5)"/>
      <w:lvlJc w:val="left"/>
      <w:pPr>
        <w:ind w:left="2210" w:hanging="420"/>
      </w:pPr>
    </w:lvl>
    <w:lvl w:ilvl="5">
      <w:start w:val="1"/>
      <w:numFmt w:val="lowerRoman"/>
      <w:lvlText w:val="%6."/>
      <w:lvlJc w:val="right"/>
      <w:pPr>
        <w:ind w:left="2630" w:hanging="420"/>
      </w:pPr>
    </w:lvl>
    <w:lvl w:ilvl="6">
      <w:start w:val="1"/>
      <w:numFmt w:val="decimal"/>
      <w:lvlText w:val="%7."/>
      <w:lvlJc w:val="left"/>
      <w:pPr>
        <w:ind w:left="3050" w:hanging="420"/>
      </w:pPr>
    </w:lvl>
    <w:lvl w:ilvl="7">
      <w:start w:val="1"/>
      <w:numFmt w:val="lowerLetter"/>
      <w:lvlText w:val="%8)"/>
      <w:lvlJc w:val="left"/>
      <w:pPr>
        <w:ind w:left="3470" w:hanging="420"/>
      </w:pPr>
    </w:lvl>
    <w:lvl w:ilvl="8">
      <w:start w:val="1"/>
      <w:numFmt w:val="lowerRoman"/>
      <w:lvlText w:val="%9."/>
      <w:lvlJc w:val="right"/>
      <w:pPr>
        <w:ind w:left="3890" w:hanging="420"/>
      </w:pPr>
    </w:lvl>
  </w:abstractNum>
  <w:abstractNum w:abstractNumId="7">
    <w:nsid w:val="5B8A0F6D"/>
    <w:multiLevelType w:val="multilevel"/>
    <w:tmpl w:val="5B8A0F6D"/>
    <w:lvl w:ilvl="0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0" w:hanging="420"/>
      </w:pPr>
    </w:lvl>
    <w:lvl w:ilvl="2">
      <w:start w:val="1"/>
      <w:numFmt w:val="lowerRoman"/>
      <w:lvlText w:val="%3."/>
      <w:lvlJc w:val="right"/>
      <w:pPr>
        <w:ind w:left="1370" w:hanging="420"/>
      </w:pPr>
    </w:lvl>
    <w:lvl w:ilvl="3">
      <w:start w:val="1"/>
      <w:numFmt w:val="decimal"/>
      <w:lvlText w:val="%4."/>
      <w:lvlJc w:val="left"/>
      <w:pPr>
        <w:ind w:left="1790" w:hanging="420"/>
      </w:pPr>
    </w:lvl>
    <w:lvl w:ilvl="4">
      <w:start w:val="1"/>
      <w:numFmt w:val="lowerLetter"/>
      <w:lvlText w:val="%5)"/>
      <w:lvlJc w:val="left"/>
      <w:pPr>
        <w:ind w:left="2210" w:hanging="420"/>
      </w:pPr>
    </w:lvl>
    <w:lvl w:ilvl="5">
      <w:start w:val="1"/>
      <w:numFmt w:val="lowerRoman"/>
      <w:lvlText w:val="%6."/>
      <w:lvlJc w:val="right"/>
      <w:pPr>
        <w:ind w:left="2630" w:hanging="420"/>
      </w:pPr>
    </w:lvl>
    <w:lvl w:ilvl="6">
      <w:start w:val="1"/>
      <w:numFmt w:val="decimal"/>
      <w:lvlText w:val="%7."/>
      <w:lvlJc w:val="left"/>
      <w:pPr>
        <w:ind w:left="3050" w:hanging="420"/>
      </w:pPr>
    </w:lvl>
    <w:lvl w:ilvl="7">
      <w:start w:val="1"/>
      <w:numFmt w:val="lowerLetter"/>
      <w:lvlText w:val="%8)"/>
      <w:lvlJc w:val="left"/>
      <w:pPr>
        <w:ind w:left="3470" w:hanging="420"/>
      </w:pPr>
    </w:lvl>
    <w:lvl w:ilvl="8">
      <w:start w:val="1"/>
      <w:numFmt w:val="lowerRoman"/>
      <w:lvlText w:val="%9."/>
      <w:lvlJc w:val="right"/>
      <w:pPr>
        <w:ind w:left="3890" w:hanging="420"/>
      </w:pPr>
    </w:lvl>
  </w:abstractNum>
  <w:abstractNum w:abstractNumId="8">
    <w:nsid w:val="753A7767"/>
    <w:multiLevelType w:val="multilevel"/>
    <w:tmpl w:val="753A7767"/>
    <w:lvl w:ilvl="0">
      <w:start w:val="1"/>
      <w:numFmt w:val="bullet"/>
      <w:lvlText w:val=""/>
      <w:lvlJc w:val="left"/>
      <w:pPr>
        <w:ind w:left="89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1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3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5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7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1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3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50" w:hanging="420"/>
      </w:pPr>
      <w:rPr>
        <w:rFonts w:ascii="Wingdings" w:hAnsi="Wingdings" w:hint="default"/>
      </w:rPr>
    </w:lvl>
  </w:abstractNum>
  <w:abstractNum w:abstractNumId="9">
    <w:nsid w:val="79A46775"/>
    <w:multiLevelType w:val="multilevel"/>
    <w:tmpl w:val="79A46775"/>
    <w:lvl w:ilvl="0">
      <w:start w:val="1"/>
      <w:numFmt w:val="decimal"/>
      <w:lvlText w:val="（%1）"/>
      <w:lvlJc w:val="left"/>
      <w:pPr>
        <w:ind w:left="53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50" w:hanging="420"/>
      </w:pPr>
    </w:lvl>
    <w:lvl w:ilvl="2">
      <w:start w:val="1"/>
      <w:numFmt w:val="lowerRoman"/>
      <w:lvlText w:val="%3."/>
      <w:lvlJc w:val="right"/>
      <w:pPr>
        <w:ind w:left="1370" w:hanging="420"/>
      </w:pPr>
    </w:lvl>
    <w:lvl w:ilvl="3">
      <w:start w:val="1"/>
      <w:numFmt w:val="decimal"/>
      <w:lvlText w:val="%4."/>
      <w:lvlJc w:val="left"/>
      <w:pPr>
        <w:ind w:left="1790" w:hanging="420"/>
      </w:pPr>
    </w:lvl>
    <w:lvl w:ilvl="4">
      <w:start w:val="1"/>
      <w:numFmt w:val="lowerLetter"/>
      <w:lvlText w:val="%5)"/>
      <w:lvlJc w:val="left"/>
      <w:pPr>
        <w:ind w:left="2210" w:hanging="420"/>
      </w:pPr>
    </w:lvl>
    <w:lvl w:ilvl="5">
      <w:start w:val="1"/>
      <w:numFmt w:val="lowerRoman"/>
      <w:lvlText w:val="%6."/>
      <w:lvlJc w:val="right"/>
      <w:pPr>
        <w:ind w:left="2630" w:hanging="420"/>
      </w:pPr>
    </w:lvl>
    <w:lvl w:ilvl="6">
      <w:start w:val="1"/>
      <w:numFmt w:val="decimal"/>
      <w:lvlText w:val="%7."/>
      <w:lvlJc w:val="left"/>
      <w:pPr>
        <w:ind w:left="3050" w:hanging="420"/>
      </w:pPr>
    </w:lvl>
    <w:lvl w:ilvl="7">
      <w:start w:val="1"/>
      <w:numFmt w:val="lowerLetter"/>
      <w:lvlText w:val="%8)"/>
      <w:lvlJc w:val="left"/>
      <w:pPr>
        <w:ind w:left="3470" w:hanging="420"/>
      </w:pPr>
    </w:lvl>
    <w:lvl w:ilvl="8">
      <w:start w:val="1"/>
      <w:numFmt w:val="lowerRoman"/>
      <w:lvlText w:val="%9."/>
      <w:lvlJc w:val="right"/>
      <w:pPr>
        <w:ind w:left="3890" w:hanging="420"/>
      </w:pPr>
    </w:lvl>
  </w:abstractNum>
  <w:abstractNum w:abstractNumId="10">
    <w:nsid w:val="79A62AA0"/>
    <w:multiLevelType w:val="multilevel"/>
    <w:tmpl w:val="79A62AA0"/>
    <w:lvl w:ilvl="0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0" w:hanging="420"/>
      </w:pPr>
    </w:lvl>
    <w:lvl w:ilvl="2">
      <w:start w:val="1"/>
      <w:numFmt w:val="lowerRoman"/>
      <w:lvlText w:val="%3."/>
      <w:lvlJc w:val="right"/>
      <w:pPr>
        <w:ind w:left="1370" w:hanging="420"/>
      </w:pPr>
    </w:lvl>
    <w:lvl w:ilvl="3">
      <w:start w:val="1"/>
      <w:numFmt w:val="decimal"/>
      <w:lvlText w:val="%4."/>
      <w:lvlJc w:val="left"/>
      <w:pPr>
        <w:ind w:left="1790" w:hanging="420"/>
      </w:pPr>
    </w:lvl>
    <w:lvl w:ilvl="4">
      <w:start w:val="1"/>
      <w:numFmt w:val="lowerLetter"/>
      <w:lvlText w:val="%5)"/>
      <w:lvlJc w:val="left"/>
      <w:pPr>
        <w:ind w:left="2210" w:hanging="420"/>
      </w:pPr>
    </w:lvl>
    <w:lvl w:ilvl="5">
      <w:start w:val="1"/>
      <w:numFmt w:val="lowerRoman"/>
      <w:lvlText w:val="%6."/>
      <w:lvlJc w:val="right"/>
      <w:pPr>
        <w:ind w:left="2630" w:hanging="420"/>
      </w:pPr>
    </w:lvl>
    <w:lvl w:ilvl="6">
      <w:start w:val="1"/>
      <w:numFmt w:val="decimal"/>
      <w:lvlText w:val="%7."/>
      <w:lvlJc w:val="left"/>
      <w:pPr>
        <w:ind w:left="3050" w:hanging="420"/>
      </w:pPr>
    </w:lvl>
    <w:lvl w:ilvl="7">
      <w:start w:val="1"/>
      <w:numFmt w:val="lowerLetter"/>
      <w:lvlText w:val="%8)"/>
      <w:lvlJc w:val="left"/>
      <w:pPr>
        <w:ind w:left="3470" w:hanging="420"/>
      </w:pPr>
    </w:lvl>
    <w:lvl w:ilvl="8">
      <w:start w:val="1"/>
      <w:numFmt w:val="lowerRoman"/>
      <w:lvlText w:val="%9."/>
      <w:lvlJc w:val="right"/>
      <w:pPr>
        <w:ind w:left="3890" w:hanging="42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0"/>
  </w:num>
  <w:num w:numId="6">
    <w:abstractNumId w:val="9"/>
  </w:num>
  <w:num w:numId="7">
    <w:abstractNumId w:val="6"/>
  </w:num>
  <w:num w:numId="8">
    <w:abstractNumId w:val="7"/>
  </w:num>
  <w:num w:numId="9">
    <w:abstractNumId w:val="8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semiHidden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uiPriority="39"/>
    <w:lsdException w:name="Table Theme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kern w:val="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3Char">
    <w:name w:val="标题 3 Char"/>
    <w:basedOn w:val="DefaultParagraphFont"/>
    <w:link w:val="Heading3"/>
    <w:uiPriority w:val="9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widowControl/>
      <w:spacing w:line="276" w:lineRule="auto"/>
      <w:ind w:firstLine="420" w:firstLineChars="200"/>
      <w:jc w:val="left"/>
    </w:pPr>
    <w:rPr>
      <w:rFonts w:ascii="Calibri" w:eastAsia="微软雅黑" w:hAnsi="Calibri" w:cs="黑体"/>
      <w:kern w:val="0"/>
      <w:sz w:val="22"/>
      <w:lang w:eastAsia="en-US"/>
    </w:rPr>
  </w:style>
  <w:style w:type="character" w:customStyle="1" w:styleId="1">
    <w:name w:val="未处理的提及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character" w:customStyle="1" w:styleId="1Char">
    <w:name w:val="标题 1 Char"/>
    <w:basedOn w:val="DefaultParagraphFont"/>
    <w:link w:val="Heading1"/>
    <w:uiPriority w:val="9"/>
    <w:qFormat/>
    <w:rPr>
      <w:b/>
      <w:bCs/>
      <w:kern w:val="44"/>
      <w:sz w:val="44"/>
      <w:szCs w:val="44"/>
    </w:rPr>
  </w:style>
  <w:style w:type="character" w:customStyle="1" w:styleId="2Char">
    <w:name w:val="标题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Spacing">
    <w:name w:val="No Spacing"/>
    <w:uiPriority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jpeg" /><Relationship Id="rId18" Type="http://schemas.openxmlformats.org/officeDocument/2006/relationships/theme" Target="theme/theme1.xml" /><Relationship Id="rId19" Type="http://schemas.openxmlformats.org/officeDocument/2006/relationships/numbering" Target="numbering.xml" /><Relationship Id="rId2" Type="http://schemas.openxmlformats.org/officeDocument/2006/relationships/webSettings" Target="webSettings.xml" /><Relationship Id="rId20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1291</Words>
  <Characters>1351</Characters>
  <Application>Microsoft Office Word</Application>
  <DocSecurity>0</DocSecurity>
  <Lines>15</Lines>
  <Paragraphs>4</Paragraphs>
  <ScaleCrop>false</ScaleCrop>
  <Company/>
  <LinksUpToDate>false</LinksUpToDate>
  <CharactersWithSpaces>1399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颜 超</dc:creator>
  <cp:lastModifiedBy>郝宇</cp:lastModifiedBy>
  <cp:revision>121</cp:revision>
  <dcterms:created xsi:type="dcterms:W3CDTF">2019-12-23T01:27:00Z</dcterms:created>
  <dcterms:modified xsi:type="dcterms:W3CDTF">2026-01-28T13:24:16Z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CBA3A6932F8844A6A1E63564B530F459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