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3339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757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48C60AE6">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9232"/>
      <w:r>
        <w:rPr>
          <w:rFonts w:hint="eastAsia"/>
          <w:lang w:val="en-US" w:eastAsia="zh-CN"/>
        </w:rPr>
        <w:t>运维服务技术研发规划</w:t>
      </w:r>
      <w:bookmarkEnd w:id="1"/>
    </w:p>
    <w:p w14:paraId="70BF2F86">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181E5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22CE0B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研发部</w:t>
            </w:r>
          </w:p>
        </w:tc>
        <w:tc>
          <w:tcPr>
            <w:tcW w:w="2708" w:type="dxa"/>
          </w:tcPr>
          <w:p w14:paraId="6585FE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F94F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AE5C0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FA5F51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bookmarkStart w:id="21" w:name="_GoBack"/>
            <w:r>
              <w:rPr>
                <w:rFonts w:hint="eastAsia"/>
                <w:vertAlign w:val="baseline"/>
                <w:lang w:val="en-US" w:eastAsia="zh-CN"/>
              </w:rPr>
              <w:t>审核</w:t>
            </w:r>
            <w:bookmarkEnd w:id="21"/>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3654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2131A3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1F41274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3C7B7EB">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89769A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0954C0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C6A9D55">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9CCD860">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7949BE1">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AFA609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056F0DB">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237619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2759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9A7003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tcPr>
          <w:p w14:paraId="48C43D77">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45D2853">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135384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吴桀</w:t>
            </w:r>
          </w:p>
        </w:tc>
        <w:tc>
          <w:tcPr>
            <w:tcW w:w="1606" w:type="dxa"/>
          </w:tcPr>
          <w:p w14:paraId="01E25E8F">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茅建根</w:t>
            </w:r>
          </w:p>
        </w:tc>
        <w:tc>
          <w:tcPr>
            <w:tcW w:w="915" w:type="dxa"/>
          </w:tcPr>
          <w:p w14:paraId="5EDFC4BD">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55A64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A815F7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6D99E8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FE313A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6FA81B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F6D492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780B6A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A9C9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535D115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1469B4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19BF43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67A0161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57A6AB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F1DE5B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6F062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2EEA0C4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224A10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31A6855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50315B9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4D52557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942061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21E461E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D3F9AA0">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4C69D8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_Toc27576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_Toc27576 \h </w:instrText>
          </w:r>
          <w:r>
            <w:fldChar w:fldCharType="separate"/>
          </w:r>
          <w:r>
            <w:t>1</w:t>
          </w:r>
          <w:r>
            <w:fldChar w:fldCharType="end"/>
          </w:r>
          <w:r>
            <w:rPr>
              <w:rFonts w:hint="eastAsia" w:ascii="宋体" w:hAnsi="宋体" w:eastAsia="宋体" w:cs="宋体"/>
              <w:szCs w:val="24"/>
            </w:rPr>
            <w:fldChar w:fldCharType="end"/>
          </w:r>
        </w:p>
        <w:p w14:paraId="53E06EB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_Toc29232 </w:instrText>
          </w:r>
          <w:r>
            <w:rPr>
              <w:rFonts w:hint="eastAsia" w:ascii="宋体" w:hAnsi="宋体" w:eastAsia="宋体" w:cs="宋体"/>
              <w:szCs w:val="24"/>
            </w:rPr>
            <w:fldChar w:fldCharType="separate"/>
          </w:r>
          <w:r>
            <w:rPr>
              <w:rFonts w:hint="eastAsia"/>
              <w:lang w:val="en-US" w:eastAsia="zh-CN"/>
            </w:rPr>
            <w:t>运维服务技术研发规划</w:t>
          </w:r>
          <w:r>
            <w:tab/>
          </w:r>
          <w:r>
            <w:fldChar w:fldCharType="begin"/>
          </w:r>
          <w:r>
            <w:instrText xml:space="preserve"> PAGEREF _Toc29232 \h </w:instrText>
          </w:r>
          <w:r>
            <w:fldChar w:fldCharType="separate"/>
          </w:r>
          <w:r>
            <w:t>1</w:t>
          </w:r>
          <w:r>
            <w:fldChar w:fldCharType="end"/>
          </w:r>
          <w:r>
            <w:rPr>
              <w:rFonts w:hint="eastAsia" w:ascii="宋体" w:hAnsi="宋体" w:eastAsia="宋体" w:cs="宋体"/>
              <w:szCs w:val="24"/>
            </w:rPr>
            <w:fldChar w:fldCharType="end"/>
          </w:r>
        </w:p>
        <w:p w14:paraId="12C721A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_Toc14083 </w:instrText>
          </w:r>
          <w:r>
            <w:rPr>
              <w:rFonts w:hint="eastAsia" w:ascii="宋体" w:hAnsi="宋体" w:eastAsia="宋体" w:cs="宋体"/>
              <w:szCs w:val="24"/>
            </w:rPr>
            <w:fldChar w:fldCharType="separate"/>
          </w:r>
          <w:r>
            <w:rPr>
              <w:rFonts w:hint="default"/>
              <w:lang w:val="en-US" w:eastAsia="zh-CN"/>
            </w:rPr>
            <w:t>1. 概述</w:t>
          </w:r>
          <w:r>
            <w:tab/>
          </w:r>
          <w:r>
            <w:fldChar w:fldCharType="begin"/>
          </w:r>
          <w:r>
            <w:instrText xml:space="preserve"> PAGEREF _Toc14083 \h </w:instrText>
          </w:r>
          <w:r>
            <w:fldChar w:fldCharType="separate"/>
          </w:r>
          <w:r>
            <w:t>4</w:t>
          </w:r>
          <w:r>
            <w:fldChar w:fldCharType="end"/>
          </w:r>
          <w:r>
            <w:rPr>
              <w:rFonts w:hint="eastAsia" w:ascii="宋体" w:hAnsi="宋体" w:eastAsia="宋体" w:cs="宋体"/>
              <w:szCs w:val="24"/>
            </w:rPr>
            <w:fldChar w:fldCharType="end"/>
          </w:r>
        </w:p>
        <w:p w14:paraId="33ADF0F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_Toc20424 </w:instrText>
          </w:r>
          <w:r>
            <w:rPr>
              <w:rFonts w:hint="eastAsia" w:ascii="宋体" w:hAnsi="宋体" w:eastAsia="宋体" w:cs="宋体"/>
              <w:szCs w:val="24"/>
            </w:rPr>
            <w:fldChar w:fldCharType="separate"/>
          </w:r>
          <w:r>
            <w:rPr>
              <w:rFonts w:hint="default"/>
              <w:lang w:val="en-US" w:eastAsia="zh-CN"/>
            </w:rPr>
            <w:t>2. 总体规划</w:t>
          </w:r>
          <w:r>
            <w:tab/>
          </w:r>
          <w:r>
            <w:fldChar w:fldCharType="begin"/>
          </w:r>
          <w:r>
            <w:instrText xml:space="preserve"> PAGEREF _Toc20424 \h </w:instrText>
          </w:r>
          <w:r>
            <w:fldChar w:fldCharType="separate"/>
          </w:r>
          <w:r>
            <w:t>4</w:t>
          </w:r>
          <w:r>
            <w:fldChar w:fldCharType="end"/>
          </w:r>
          <w:r>
            <w:rPr>
              <w:rFonts w:hint="eastAsia" w:ascii="宋体" w:hAnsi="宋体" w:eastAsia="宋体" w:cs="宋体"/>
              <w:szCs w:val="24"/>
            </w:rPr>
            <w:fldChar w:fldCharType="end"/>
          </w:r>
        </w:p>
        <w:p w14:paraId="4B20F4B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_Toc16367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华数-服务价值台研发</w:t>
          </w:r>
          <w:r>
            <w:tab/>
          </w:r>
          <w:r>
            <w:fldChar w:fldCharType="begin"/>
          </w:r>
          <w:r>
            <w:instrText xml:space="preserve"> PAGEREF _Toc16367 \h </w:instrText>
          </w:r>
          <w:r>
            <w:fldChar w:fldCharType="separate"/>
          </w:r>
          <w:r>
            <w:t>4</w:t>
          </w:r>
          <w:r>
            <w:fldChar w:fldCharType="end"/>
          </w:r>
          <w:r>
            <w:rPr>
              <w:rFonts w:hint="eastAsia" w:ascii="宋体" w:hAnsi="宋体" w:eastAsia="宋体" w:cs="宋体"/>
              <w:szCs w:val="24"/>
            </w:rPr>
            <w:fldChar w:fldCharType="end"/>
          </w:r>
        </w:p>
        <w:p w14:paraId="5C5C2DE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_Toc12169 </w:instrText>
          </w:r>
          <w:r>
            <w:rPr>
              <w:rFonts w:hint="eastAsia" w:ascii="宋体" w:hAnsi="宋体" w:eastAsia="宋体" w:cs="宋体"/>
              <w:szCs w:val="24"/>
            </w:rPr>
            <w:fldChar w:fldCharType="separate"/>
          </w:r>
          <w:r>
            <w:rPr>
              <w:rFonts w:hint="default"/>
              <w:lang w:val="en-US" w:eastAsia="zh-CN"/>
            </w:rPr>
            <w:t>3.1. 研发目标</w:t>
          </w:r>
          <w:r>
            <w:tab/>
          </w:r>
          <w:r>
            <w:fldChar w:fldCharType="begin"/>
          </w:r>
          <w:r>
            <w:instrText xml:space="preserve"> PAGEREF _Toc12169 \h </w:instrText>
          </w:r>
          <w:r>
            <w:fldChar w:fldCharType="separate"/>
          </w:r>
          <w:r>
            <w:t>4</w:t>
          </w:r>
          <w:r>
            <w:fldChar w:fldCharType="end"/>
          </w:r>
          <w:r>
            <w:rPr>
              <w:rFonts w:hint="eastAsia" w:ascii="宋体" w:hAnsi="宋体" w:eastAsia="宋体" w:cs="宋体"/>
              <w:szCs w:val="24"/>
            </w:rPr>
            <w:fldChar w:fldCharType="end"/>
          </w:r>
        </w:p>
        <w:p w14:paraId="33A39B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_Toc4665 </w:instrText>
          </w:r>
          <w:r>
            <w:rPr>
              <w:rFonts w:hint="eastAsia" w:ascii="宋体" w:hAnsi="宋体" w:eastAsia="宋体" w:cs="宋体"/>
              <w:szCs w:val="24"/>
            </w:rPr>
            <w:fldChar w:fldCharType="separate"/>
          </w:r>
          <w:r>
            <w:rPr>
              <w:rFonts w:hint="default"/>
              <w:lang w:val="en-US" w:eastAsia="zh-CN"/>
            </w:rPr>
            <w:t>3.2. 研发内容</w:t>
          </w:r>
          <w:r>
            <w:tab/>
          </w:r>
          <w:r>
            <w:fldChar w:fldCharType="begin"/>
          </w:r>
          <w:r>
            <w:instrText xml:space="preserve"> PAGEREF _Toc4665 \h </w:instrText>
          </w:r>
          <w:r>
            <w:fldChar w:fldCharType="separate"/>
          </w:r>
          <w:r>
            <w:t>5</w:t>
          </w:r>
          <w:r>
            <w:fldChar w:fldCharType="end"/>
          </w:r>
          <w:r>
            <w:rPr>
              <w:rFonts w:hint="eastAsia" w:ascii="宋体" w:hAnsi="宋体" w:eastAsia="宋体" w:cs="宋体"/>
              <w:szCs w:val="24"/>
            </w:rPr>
            <w:fldChar w:fldCharType="end"/>
          </w:r>
        </w:p>
        <w:p w14:paraId="631D34B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_Toc16543 </w:instrText>
          </w:r>
          <w:r>
            <w:rPr>
              <w:rFonts w:hint="eastAsia" w:ascii="宋体" w:hAnsi="宋体" w:eastAsia="宋体" w:cs="宋体"/>
              <w:szCs w:val="24"/>
            </w:rPr>
            <w:fldChar w:fldCharType="separate"/>
          </w:r>
          <w:r>
            <w:rPr>
              <w:rFonts w:hint="default"/>
              <w:lang w:val="en-US" w:eastAsia="zh-CN"/>
            </w:rPr>
            <w:t>3.2.1. 服务知识管理模块</w:t>
          </w:r>
          <w:r>
            <w:tab/>
          </w:r>
          <w:r>
            <w:fldChar w:fldCharType="begin"/>
          </w:r>
          <w:r>
            <w:instrText xml:space="preserve"> PAGEREF _Toc16543 \h </w:instrText>
          </w:r>
          <w:r>
            <w:fldChar w:fldCharType="separate"/>
          </w:r>
          <w:r>
            <w:t>5</w:t>
          </w:r>
          <w:r>
            <w:fldChar w:fldCharType="end"/>
          </w:r>
          <w:r>
            <w:rPr>
              <w:rFonts w:hint="eastAsia" w:ascii="宋体" w:hAnsi="宋体" w:eastAsia="宋体" w:cs="宋体"/>
              <w:szCs w:val="24"/>
            </w:rPr>
            <w:fldChar w:fldCharType="end"/>
          </w:r>
        </w:p>
        <w:p w14:paraId="065FBED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_Toc12604 </w:instrText>
          </w:r>
          <w:r>
            <w:rPr>
              <w:rFonts w:hint="eastAsia" w:ascii="宋体" w:hAnsi="宋体" w:eastAsia="宋体" w:cs="宋体"/>
              <w:szCs w:val="24"/>
            </w:rPr>
            <w:fldChar w:fldCharType="separate"/>
          </w:r>
          <w:r>
            <w:rPr>
              <w:rFonts w:hint="default"/>
              <w:lang w:val="en-US" w:eastAsia="zh-CN"/>
            </w:rPr>
            <w:t>3.2.2. 客户满意度</w:t>
          </w:r>
          <w:r>
            <w:rPr>
              <w:rFonts w:hint="eastAsia"/>
              <w:lang w:val="en-US" w:eastAsia="zh-CN"/>
            </w:rPr>
            <w:t>调查</w:t>
          </w:r>
          <w:r>
            <w:rPr>
              <w:rFonts w:hint="default"/>
              <w:lang w:val="en-US" w:eastAsia="zh-CN"/>
            </w:rPr>
            <w:t>模块</w:t>
          </w:r>
          <w:r>
            <w:tab/>
          </w:r>
          <w:r>
            <w:fldChar w:fldCharType="begin"/>
          </w:r>
          <w:r>
            <w:instrText xml:space="preserve"> PAGEREF _Toc12604 \h </w:instrText>
          </w:r>
          <w:r>
            <w:fldChar w:fldCharType="separate"/>
          </w:r>
          <w:r>
            <w:t>5</w:t>
          </w:r>
          <w:r>
            <w:fldChar w:fldCharType="end"/>
          </w:r>
          <w:r>
            <w:rPr>
              <w:rFonts w:hint="eastAsia" w:ascii="宋体" w:hAnsi="宋体" w:eastAsia="宋体" w:cs="宋体"/>
              <w:szCs w:val="24"/>
            </w:rPr>
            <w:fldChar w:fldCharType="end"/>
          </w:r>
        </w:p>
        <w:p w14:paraId="1490C6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_Toc11882 </w:instrText>
          </w:r>
          <w:r>
            <w:rPr>
              <w:rFonts w:hint="eastAsia" w:ascii="宋体" w:hAnsi="宋体" w:eastAsia="宋体" w:cs="宋体"/>
              <w:szCs w:val="24"/>
            </w:rPr>
            <w:fldChar w:fldCharType="separate"/>
          </w:r>
          <w:r>
            <w:rPr>
              <w:rFonts w:hint="default"/>
              <w:lang w:val="en-US" w:eastAsia="zh-CN"/>
            </w:rPr>
            <w:t>3.3. 研发团队</w:t>
          </w:r>
          <w:r>
            <w:tab/>
          </w:r>
          <w:r>
            <w:fldChar w:fldCharType="begin"/>
          </w:r>
          <w:r>
            <w:instrText xml:space="preserve"> PAGEREF _Toc11882 \h </w:instrText>
          </w:r>
          <w:r>
            <w:fldChar w:fldCharType="separate"/>
          </w:r>
          <w:r>
            <w:t>5</w:t>
          </w:r>
          <w:r>
            <w:fldChar w:fldCharType="end"/>
          </w:r>
          <w:r>
            <w:rPr>
              <w:rFonts w:hint="eastAsia" w:ascii="宋体" w:hAnsi="宋体" w:eastAsia="宋体" w:cs="宋体"/>
              <w:szCs w:val="24"/>
            </w:rPr>
            <w:fldChar w:fldCharType="end"/>
          </w:r>
        </w:p>
        <w:p w14:paraId="70D33AB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_Toc17020 </w:instrText>
          </w:r>
          <w:r>
            <w:rPr>
              <w:rFonts w:hint="eastAsia" w:ascii="宋体" w:hAnsi="宋体" w:eastAsia="宋体" w:cs="宋体"/>
              <w:szCs w:val="24"/>
            </w:rPr>
            <w:fldChar w:fldCharType="separate"/>
          </w:r>
          <w:r>
            <w:rPr>
              <w:rFonts w:hint="default"/>
              <w:lang w:val="en-US" w:eastAsia="zh-CN"/>
            </w:rPr>
            <w:t>3.4. 研发环境</w:t>
          </w:r>
          <w:r>
            <w:tab/>
          </w:r>
          <w:r>
            <w:fldChar w:fldCharType="begin"/>
          </w:r>
          <w:r>
            <w:instrText xml:space="preserve"> PAGEREF _Toc17020 \h </w:instrText>
          </w:r>
          <w:r>
            <w:fldChar w:fldCharType="separate"/>
          </w:r>
          <w:r>
            <w:t>6</w:t>
          </w:r>
          <w:r>
            <w:fldChar w:fldCharType="end"/>
          </w:r>
          <w:r>
            <w:rPr>
              <w:rFonts w:hint="eastAsia" w:ascii="宋体" w:hAnsi="宋体" w:eastAsia="宋体" w:cs="宋体"/>
              <w:szCs w:val="24"/>
            </w:rPr>
            <w:fldChar w:fldCharType="end"/>
          </w:r>
        </w:p>
        <w:p w14:paraId="0509F35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_Toc14689 </w:instrText>
          </w:r>
          <w:r>
            <w:rPr>
              <w:rFonts w:hint="eastAsia" w:ascii="宋体" w:hAnsi="宋体" w:eastAsia="宋体" w:cs="宋体"/>
              <w:szCs w:val="24"/>
            </w:rPr>
            <w:fldChar w:fldCharType="separate"/>
          </w:r>
          <w:r>
            <w:rPr>
              <w:rFonts w:hint="default"/>
              <w:lang w:val="en-US" w:eastAsia="zh-CN"/>
            </w:rPr>
            <w:t>3.5. 研发进度</w:t>
          </w:r>
          <w:r>
            <w:tab/>
          </w:r>
          <w:r>
            <w:fldChar w:fldCharType="begin"/>
          </w:r>
          <w:r>
            <w:instrText xml:space="preserve"> PAGEREF _Toc14689 \h </w:instrText>
          </w:r>
          <w:r>
            <w:fldChar w:fldCharType="separate"/>
          </w:r>
          <w:r>
            <w:t>6</w:t>
          </w:r>
          <w:r>
            <w:fldChar w:fldCharType="end"/>
          </w:r>
          <w:r>
            <w:rPr>
              <w:rFonts w:hint="eastAsia" w:ascii="宋体" w:hAnsi="宋体" w:eastAsia="宋体" w:cs="宋体"/>
              <w:szCs w:val="24"/>
            </w:rPr>
            <w:fldChar w:fldCharType="end"/>
          </w:r>
        </w:p>
        <w:p w14:paraId="1C7691F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_Toc31124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运维手册研发</w:t>
          </w:r>
          <w:r>
            <w:tab/>
          </w:r>
          <w:r>
            <w:fldChar w:fldCharType="begin"/>
          </w:r>
          <w:r>
            <w:instrText xml:space="preserve"> PAGEREF _Toc31124 \h </w:instrText>
          </w:r>
          <w:r>
            <w:fldChar w:fldCharType="separate"/>
          </w:r>
          <w:r>
            <w:t>7</w:t>
          </w:r>
          <w:r>
            <w:fldChar w:fldCharType="end"/>
          </w:r>
          <w:r>
            <w:rPr>
              <w:rFonts w:hint="eastAsia" w:ascii="宋体" w:hAnsi="宋体" w:eastAsia="宋体" w:cs="宋体"/>
              <w:szCs w:val="24"/>
            </w:rPr>
            <w:fldChar w:fldCharType="end"/>
          </w:r>
        </w:p>
        <w:p w14:paraId="1009574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_Toc20420 </w:instrText>
          </w:r>
          <w:r>
            <w:rPr>
              <w:rFonts w:hint="eastAsia" w:ascii="宋体" w:hAnsi="宋体" w:eastAsia="宋体" w:cs="宋体"/>
              <w:szCs w:val="24"/>
            </w:rPr>
            <w:fldChar w:fldCharType="separate"/>
          </w:r>
          <w:r>
            <w:rPr>
              <w:rFonts w:hint="default"/>
              <w:lang w:val="en-US" w:eastAsia="zh-CN"/>
            </w:rPr>
            <w:t>4.1. 现状分析</w:t>
          </w:r>
          <w:r>
            <w:tab/>
          </w:r>
          <w:r>
            <w:fldChar w:fldCharType="begin"/>
          </w:r>
          <w:r>
            <w:instrText xml:space="preserve"> PAGEREF _Toc20420 \h </w:instrText>
          </w:r>
          <w:r>
            <w:fldChar w:fldCharType="separate"/>
          </w:r>
          <w:r>
            <w:t>7</w:t>
          </w:r>
          <w:r>
            <w:fldChar w:fldCharType="end"/>
          </w:r>
          <w:r>
            <w:rPr>
              <w:rFonts w:hint="eastAsia" w:ascii="宋体" w:hAnsi="宋体" w:eastAsia="宋体" w:cs="宋体"/>
              <w:szCs w:val="24"/>
            </w:rPr>
            <w:fldChar w:fldCharType="end"/>
          </w:r>
        </w:p>
        <w:p w14:paraId="19ED057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_Toc14476 </w:instrText>
          </w:r>
          <w:r>
            <w:rPr>
              <w:rFonts w:hint="eastAsia" w:ascii="宋体" w:hAnsi="宋体" w:eastAsia="宋体" w:cs="宋体"/>
              <w:szCs w:val="24"/>
            </w:rPr>
            <w:fldChar w:fldCharType="separate"/>
          </w:r>
          <w:r>
            <w:rPr>
              <w:rFonts w:hint="default"/>
              <w:lang w:val="en-US" w:eastAsia="zh-CN"/>
            </w:rPr>
            <w:t>4.2. 研发必要性</w:t>
          </w:r>
          <w:r>
            <w:tab/>
          </w:r>
          <w:r>
            <w:fldChar w:fldCharType="begin"/>
          </w:r>
          <w:r>
            <w:instrText xml:space="preserve"> PAGEREF _Toc14476 \h </w:instrText>
          </w:r>
          <w:r>
            <w:fldChar w:fldCharType="separate"/>
          </w:r>
          <w:r>
            <w:t>7</w:t>
          </w:r>
          <w:r>
            <w:fldChar w:fldCharType="end"/>
          </w:r>
          <w:r>
            <w:rPr>
              <w:rFonts w:hint="eastAsia" w:ascii="宋体" w:hAnsi="宋体" w:eastAsia="宋体" w:cs="宋体"/>
              <w:szCs w:val="24"/>
            </w:rPr>
            <w:fldChar w:fldCharType="end"/>
          </w:r>
        </w:p>
        <w:p w14:paraId="6A0E917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_Toc27932 </w:instrText>
          </w:r>
          <w:r>
            <w:rPr>
              <w:rFonts w:hint="eastAsia" w:ascii="宋体" w:hAnsi="宋体" w:eastAsia="宋体" w:cs="宋体"/>
              <w:szCs w:val="24"/>
            </w:rPr>
            <w:fldChar w:fldCharType="separate"/>
          </w:r>
          <w:r>
            <w:rPr>
              <w:rFonts w:hint="default"/>
              <w:lang w:val="en-US" w:eastAsia="zh-CN"/>
            </w:rPr>
            <w:t>4.3. 手册研发计划</w:t>
          </w:r>
          <w:r>
            <w:tab/>
          </w:r>
          <w:r>
            <w:fldChar w:fldCharType="begin"/>
          </w:r>
          <w:r>
            <w:instrText xml:space="preserve"> PAGEREF _Toc27932 \h </w:instrText>
          </w:r>
          <w:r>
            <w:fldChar w:fldCharType="separate"/>
          </w:r>
          <w:r>
            <w:t>8</w:t>
          </w:r>
          <w:r>
            <w:fldChar w:fldCharType="end"/>
          </w:r>
          <w:r>
            <w:rPr>
              <w:rFonts w:hint="eastAsia" w:ascii="宋体" w:hAnsi="宋体" w:eastAsia="宋体" w:cs="宋体"/>
              <w:szCs w:val="24"/>
            </w:rPr>
            <w:fldChar w:fldCharType="end"/>
          </w:r>
        </w:p>
        <w:p w14:paraId="3EB20DC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_Toc12257 </w:instrText>
          </w:r>
          <w:r>
            <w:rPr>
              <w:rFonts w:hint="eastAsia" w:ascii="宋体" w:hAnsi="宋体" w:eastAsia="宋体" w:cs="宋体"/>
              <w:szCs w:val="24"/>
            </w:rPr>
            <w:fldChar w:fldCharType="separate"/>
          </w:r>
          <w:r>
            <w:rPr>
              <w:rFonts w:hint="default"/>
              <w:lang w:val="en-US" w:eastAsia="zh-CN"/>
            </w:rPr>
            <w:t>5. 新技术研发规划</w:t>
          </w:r>
          <w:r>
            <w:tab/>
          </w:r>
          <w:r>
            <w:fldChar w:fldCharType="begin"/>
          </w:r>
          <w:r>
            <w:instrText xml:space="preserve"> PAGEREF _Toc12257 \h </w:instrText>
          </w:r>
          <w:r>
            <w:fldChar w:fldCharType="separate"/>
          </w:r>
          <w:r>
            <w:t>8</w:t>
          </w:r>
          <w:r>
            <w:fldChar w:fldCharType="end"/>
          </w:r>
          <w:r>
            <w:rPr>
              <w:rFonts w:hint="eastAsia" w:ascii="宋体" w:hAnsi="宋体" w:eastAsia="宋体" w:cs="宋体"/>
              <w:szCs w:val="24"/>
            </w:rPr>
            <w:fldChar w:fldCharType="end"/>
          </w:r>
        </w:p>
        <w:p w14:paraId="2B9077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_Toc32424 </w:instrText>
          </w:r>
          <w:r>
            <w:rPr>
              <w:rFonts w:hint="eastAsia" w:ascii="宋体" w:hAnsi="宋体" w:eastAsia="宋体" w:cs="宋体"/>
              <w:szCs w:val="24"/>
            </w:rPr>
            <w:fldChar w:fldCharType="separate"/>
          </w:r>
          <w:r>
            <w:rPr>
              <w:rFonts w:hint="default"/>
              <w:lang w:val="en-US" w:eastAsia="zh-CN"/>
            </w:rPr>
            <w:t>5.1. 研发方向与目标</w:t>
          </w:r>
          <w:r>
            <w:tab/>
          </w:r>
          <w:r>
            <w:fldChar w:fldCharType="begin"/>
          </w:r>
          <w:r>
            <w:instrText xml:space="preserve"> PAGEREF _Toc32424 \h </w:instrText>
          </w:r>
          <w:r>
            <w:fldChar w:fldCharType="separate"/>
          </w:r>
          <w:r>
            <w:t>8</w:t>
          </w:r>
          <w:r>
            <w:fldChar w:fldCharType="end"/>
          </w:r>
          <w:r>
            <w:rPr>
              <w:rFonts w:hint="eastAsia" w:ascii="宋体" w:hAnsi="宋体" w:eastAsia="宋体" w:cs="宋体"/>
              <w:szCs w:val="24"/>
            </w:rPr>
            <w:fldChar w:fldCharType="end"/>
          </w:r>
        </w:p>
        <w:p w14:paraId="0B3F10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_Toc25538 </w:instrText>
          </w:r>
          <w:r>
            <w:rPr>
              <w:rFonts w:hint="eastAsia" w:ascii="宋体" w:hAnsi="宋体" w:eastAsia="宋体" w:cs="宋体"/>
              <w:szCs w:val="24"/>
            </w:rPr>
            <w:fldChar w:fldCharType="separate"/>
          </w:r>
          <w:r>
            <w:rPr>
              <w:rFonts w:hint="default"/>
              <w:lang w:val="en-US" w:eastAsia="zh-CN"/>
            </w:rPr>
            <w:t>5.2. 实施路径</w:t>
          </w:r>
          <w:r>
            <w:tab/>
          </w:r>
          <w:r>
            <w:fldChar w:fldCharType="begin"/>
          </w:r>
          <w:r>
            <w:instrText xml:space="preserve"> PAGEREF _Toc25538 \h </w:instrText>
          </w:r>
          <w:r>
            <w:fldChar w:fldCharType="separate"/>
          </w:r>
          <w:r>
            <w:t>9</w:t>
          </w:r>
          <w:r>
            <w:fldChar w:fldCharType="end"/>
          </w:r>
          <w:r>
            <w:rPr>
              <w:rFonts w:hint="eastAsia" w:ascii="宋体" w:hAnsi="宋体" w:eastAsia="宋体" w:cs="宋体"/>
              <w:szCs w:val="24"/>
            </w:rPr>
            <w:fldChar w:fldCharType="end"/>
          </w:r>
        </w:p>
        <w:p w14:paraId="5F705B9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_Toc15384 </w:instrText>
          </w:r>
          <w:r>
            <w:rPr>
              <w:rFonts w:hint="eastAsia" w:ascii="宋体" w:hAnsi="宋体" w:eastAsia="宋体" w:cs="宋体"/>
              <w:szCs w:val="24"/>
            </w:rPr>
            <w:fldChar w:fldCharType="separate"/>
          </w:r>
          <w:r>
            <w:rPr>
              <w:rFonts w:hint="default"/>
              <w:lang w:val="en-US" w:eastAsia="zh-CN"/>
            </w:rPr>
            <w:t>5.3. 资源投入</w:t>
          </w:r>
          <w:r>
            <w:tab/>
          </w:r>
          <w:r>
            <w:fldChar w:fldCharType="begin"/>
          </w:r>
          <w:r>
            <w:instrText xml:space="preserve"> PAGEREF _Toc15384 \h </w:instrText>
          </w:r>
          <w:r>
            <w:fldChar w:fldCharType="separate"/>
          </w:r>
          <w:r>
            <w:t>9</w:t>
          </w:r>
          <w:r>
            <w:fldChar w:fldCharType="end"/>
          </w:r>
          <w:r>
            <w:rPr>
              <w:rFonts w:hint="eastAsia" w:ascii="宋体" w:hAnsi="宋体" w:eastAsia="宋体" w:cs="宋体"/>
              <w:szCs w:val="24"/>
            </w:rPr>
            <w:fldChar w:fldCharType="end"/>
          </w:r>
        </w:p>
        <w:p w14:paraId="53A483C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_Toc26708 </w:instrText>
          </w:r>
          <w:r>
            <w:rPr>
              <w:rFonts w:hint="eastAsia" w:ascii="宋体" w:hAnsi="宋体" w:eastAsia="宋体" w:cs="宋体"/>
              <w:szCs w:val="24"/>
            </w:rPr>
            <w:fldChar w:fldCharType="separate"/>
          </w:r>
          <w:r>
            <w:rPr>
              <w:rFonts w:hint="default"/>
              <w:lang w:val="en-US" w:eastAsia="zh-CN"/>
            </w:rPr>
            <w:t>6. 资源与经费</w:t>
          </w:r>
          <w:r>
            <w:tab/>
          </w:r>
          <w:r>
            <w:fldChar w:fldCharType="begin"/>
          </w:r>
          <w:r>
            <w:instrText xml:space="preserve"> PAGEREF _Toc26708 \h </w:instrText>
          </w:r>
          <w:r>
            <w:fldChar w:fldCharType="separate"/>
          </w:r>
          <w:r>
            <w:t>9</w:t>
          </w:r>
          <w:r>
            <w:fldChar w:fldCharType="end"/>
          </w:r>
          <w:r>
            <w:rPr>
              <w:rFonts w:hint="eastAsia" w:ascii="宋体" w:hAnsi="宋体" w:eastAsia="宋体" w:cs="宋体"/>
              <w:szCs w:val="24"/>
            </w:rPr>
            <w:fldChar w:fldCharType="end"/>
          </w:r>
        </w:p>
        <w:p w14:paraId="3193342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D109853">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E553FD5">
      <w:pPr>
        <w:pStyle w:val="28"/>
        <w:bidi w:val="0"/>
        <w:rPr>
          <w:rFonts w:hint="default"/>
          <w:lang w:val="en-US" w:eastAsia="zh-CN"/>
        </w:rPr>
      </w:pPr>
      <w:bookmarkStart w:id="2" w:name="_Toc14083"/>
      <w:r>
        <w:rPr>
          <w:rFonts w:hint="default"/>
          <w:lang w:val="en-US" w:eastAsia="zh-CN"/>
        </w:rPr>
        <w:t>概述</w:t>
      </w:r>
      <w:bookmarkEnd w:id="2"/>
    </w:p>
    <w:p w14:paraId="44538B0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贯彻落实公司向"数智运营"转型的战略要求，系统性地提升运维服务的智能化水平、运营效率与客户感知价值，特制定本技术研发规划。基于公司现有服务管理基础，规划聚焦于信息触达、体验反馈、知识复用及自动化提升等关键环节，通过定向技术研发构建智能运维能力体系，赋能一线服务团队，优化管理决策，推动运维服务从"保障运行"向"创造价值"升级。</w:t>
      </w:r>
    </w:p>
    <w:p w14:paraId="15F8036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本规划面向公司管理层、运维部、研发部、质量管理部及人力资源部等相关单位与项目组成员。</w:t>
      </w:r>
    </w:p>
    <w:p w14:paraId="50971BB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0424"/>
      <w:r>
        <w:rPr>
          <w:rFonts w:hint="default"/>
          <w:lang w:val="en-US" w:eastAsia="zh-CN"/>
        </w:rPr>
        <w:t>总体规划</w:t>
      </w:r>
      <w:bookmarkEnd w:id="3"/>
    </w:p>
    <w:p w14:paraId="4B74631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本规划聚焦运维服务核心环节，2025年度重点推进三大研发项目，构建"管理智能、知识内嵌、操作自动"的协同能力：</w:t>
      </w:r>
    </w:p>
    <w:p w14:paraId="6477CF4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智能服务管理与分析平台：作为核心枢纽，重构信息发布、满意度反馈与服务价值呈现机制，实现管理指令精准触达与服务体验实时感知。</w:t>
      </w:r>
    </w:p>
    <w:p w14:paraId="01DB00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场景化知识库与智能辅助系统：将静态知识转化为动态助手，深度嵌入运维工作流，为一线人员提供即时的决策支持与操作指导。</w:t>
      </w:r>
    </w:p>
    <w:p w14:paraId="3D97591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运维自动化工具链：通过自动化工作流引擎，将重复性、标准化操作自动化，提升服务响应的一致性与效率。</w:t>
      </w:r>
    </w:p>
    <w:p w14:paraId="5770F9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上述项目分阶段实施，相互支撑，共同构建公司"数智运维"能力的技术基座。</w:t>
      </w:r>
    </w:p>
    <w:p w14:paraId="24554F79">
      <w:pPr>
        <w:pStyle w:val="28"/>
        <w:bidi w:val="0"/>
        <w:rPr>
          <w:rFonts w:hint="default"/>
          <w:lang w:val="en-US" w:eastAsia="zh-CN"/>
        </w:rPr>
      </w:pPr>
      <w:bookmarkStart w:id="4" w:name="_Toc16367"/>
      <w:r>
        <w:rPr>
          <w:rFonts w:hint="eastAsia"/>
          <w:lang w:val="en-US" w:eastAsia="zh-CN"/>
        </w:rPr>
        <w:t>华数-服务价值台研发</w:t>
      </w:r>
      <w:bookmarkEnd w:id="4"/>
      <w:r>
        <w:rPr>
          <w:rFonts w:hint="eastAsia"/>
          <w:lang w:val="en-US" w:eastAsia="zh-CN"/>
        </w:rPr>
        <w:tab/>
      </w:r>
    </w:p>
    <w:p w14:paraId="2921482C">
      <w:pPr>
        <w:pStyle w:val="30"/>
        <w:bidi w:val="0"/>
        <w:rPr>
          <w:rFonts w:hint="default"/>
          <w:lang w:val="en-US" w:eastAsia="zh-CN"/>
        </w:rPr>
      </w:pPr>
      <w:bookmarkStart w:id="5" w:name="_Toc12169"/>
      <w:r>
        <w:rPr>
          <w:rFonts w:hint="default"/>
          <w:lang w:val="en-US" w:eastAsia="zh-CN"/>
        </w:rPr>
        <w:t>研发目标</w:t>
      </w:r>
      <w:bookmarkEnd w:id="5"/>
    </w:p>
    <w:p w14:paraId="316518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本项目旨在构建一个集服务知识高效管理与客户体验精准洞察于一体的智能中枢平台。核心目标是：</w:t>
      </w:r>
    </w:p>
    <w:p w14:paraId="306959C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打造结构化服务知识管理引擎：将现有零散、滞后的Excel知识文件，升级为动态生长、智能关联的统一</w:t>
      </w:r>
      <w:r>
        <w:rPr>
          <w:rFonts w:hint="eastAsia"/>
          <w:lang w:val="en-US" w:eastAsia="zh-CN"/>
        </w:rPr>
        <w:t>服务知识</w:t>
      </w:r>
      <w:r>
        <w:rPr>
          <w:rFonts w:hint="default"/>
          <w:lang w:val="en-US" w:eastAsia="zh-CN"/>
        </w:rPr>
        <w:t>，变个人经验为可复用的团队资产，提升一线服务解决效率。</w:t>
      </w:r>
    </w:p>
    <w:p w14:paraId="1F1505CF">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构建闭环驱动的客户满意度管理体系：变革后、单一渠道的满意度收集方式，实现服务全流程、多触点、即时化的体验反馈与深度分析，变被动响应为主动优化。</w:t>
      </w:r>
    </w:p>
    <w:p w14:paraId="1C5B49C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实现知识与价值的量化关联分析：打通“知识应用-问题解决-客户满意”的数据链路，通过可视化报表直观呈现知识贡献度与服务质量的内在关联，为服务优化与人才激励提供数据决策支撑。</w:t>
      </w:r>
    </w:p>
    <w:p w14:paraId="5B9587C7">
      <w:pPr>
        <w:pStyle w:val="30"/>
        <w:bidi w:val="0"/>
        <w:rPr>
          <w:rFonts w:hint="default"/>
          <w:lang w:val="en-US" w:eastAsia="zh-CN"/>
        </w:rPr>
      </w:pPr>
      <w:bookmarkStart w:id="6" w:name="_Toc4665"/>
      <w:r>
        <w:rPr>
          <w:rFonts w:hint="default"/>
          <w:lang w:val="en-US" w:eastAsia="zh-CN"/>
        </w:rPr>
        <w:t>研发内容</w:t>
      </w:r>
      <w:bookmarkEnd w:id="6"/>
    </w:p>
    <w:p w14:paraId="0198508E">
      <w:pPr>
        <w:pStyle w:val="31"/>
        <w:bidi w:val="0"/>
        <w:rPr>
          <w:rFonts w:hint="default"/>
          <w:lang w:val="en-US" w:eastAsia="zh-CN"/>
        </w:rPr>
      </w:pPr>
      <w:bookmarkStart w:id="7" w:name="_Toc16543"/>
      <w:r>
        <w:rPr>
          <w:rFonts w:hint="default"/>
          <w:lang w:val="en-US" w:eastAsia="zh-CN"/>
        </w:rPr>
        <w:t>服务知识管理模块</w:t>
      </w:r>
      <w:bookmarkEnd w:id="7"/>
    </w:p>
    <w:p w14:paraId="451997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本模块旨在将“</w:t>
      </w:r>
      <w:r>
        <w:rPr>
          <w:rFonts w:hint="eastAsia"/>
          <w:lang w:val="en-US" w:eastAsia="zh-CN"/>
        </w:rPr>
        <w:t>华数</w:t>
      </w:r>
      <w:r>
        <w:rPr>
          <w:rFonts w:hint="default"/>
          <w:lang w:val="en-US" w:eastAsia="zh-CN"/>
        </w:rPr>
        <w:t>系统”等核心业务的运维知识，从静态文件管理升级为主动赋能的智能体系</w:t>
      </w:r>
      <w:r>
        <w:rPr>
          <w:rFonts w:hint="eastAsia"/>
          <w:lang w:val="en-US" w:eastAsia="zh-CN"/>
        </w:rPr>
        <w:t>，其主要功能包括：</w:t>
      </w:r>
    </w:p>
    <w:p w14:paraId="07E24A2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开发知识条目全生命周期管理功能，支持创建、编辑、</w:t>
      </w:r>
      <w:r>
        <w:rPr>
          <w:rFonts w:hint="eastAsia"/>
          <w:lang w:val="en-US" w:eastAsia="zh-CN"/>
        </w:rPr>
        <w:t>搜索、导出功能。</w:t>
      </w:r>
    </w:p>
    <w:p w14:paraId="3797E16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设计灵活的元数据模型，支持按问题类别、影响等级等多维度分类与标签体系。</w:t>
      </w:r>
    </w:p>
    <w:p w14:paraId="0FCD524C">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提供Excel历史数据的批量导入与图片附件迁移工具，确保知识资产平滑过渡。</w:t>
      </w:r>
    </w:p>
    <w:p w14:paraId="27C3315B">
      <w:pPr>
        <w:pStyle w:val="31"/>
        <w:bidi w:val="0"/>
        <w:rPr>
          <w:rFonts w:hint="default"/>
          <w:lang w:val="en-US" w:eastAsia="zh-CN"/>
        </w:rPr>
      </w:pPr>
      <w:bookmarkStart w:id="8" w:name="_Toc12604"/>
      <w:r>
        <w:rPr>
          <w:rFonts w:hint="default"/>
          <w:lang w:val="en-US" w:eastAsia="zh-CN"/>
        </w:rPr>
        <w:t>客户满意度</w:t>
      </w:r>
      <w:r>
        <w:rPr>
          <w:rFonts w:hint="eastAsia"/>
          <w:lang w:val="en-US" w:eastAsia="zh-CN"/>
        </w:rPr>
        <w:t>调查</w:t>
      </w:r>
      <w:r>
        <w:rPr>
          <w:rFonts w:hint="default"/>
          <w:lang w:val="en-US" w:eastAsia="zh-CN"/>
        </w:rPr>
        <w:t>模块</w:t>
      </w:r>
      <w:bookmarkEnd w:id="8"/>
    </w:p>
    <w:p w14:paraId="01C0C681">
      <w:pPr>
        <w:pStyle w:val="29"/>
        <w:bidi w:val="0"/>
      </w:pPr>
      <w:r>
        <w:t>本模块的核心职责，是从无到有地构建、执行并回收一套完整的满意度调查流程，确保每一次客户反馈都能被标准化、高效率地收集与汇聚。其主要功能包括：</w:t>
      </w:r>
    </w:p>
    <w:p w14:paraId="391E856F">
      <w:pPr>
        <w:pStyle w:val="29"/>
        <w:numPr>
          <w:ilvl w:val="0"/>
          <w:numId w:val="4"/>
        </w:numPr>
        <w:bidi w:val="0"/>
        <w:ind w:left="425" w:leftChars="0" w:hanging="425" w:firstLineChars="0"/>
      </w:pPr>
      <w:r>
        <w:t>满意度调查项的灵活配置</w:t>
      </w:r>
    </w:p>
    <w:p w14:paraId="6EEFCAFD">
      <w:pPr>
        <w:pStyle w:val="29"/>
        <w:numPr>
          <w:ilvl w:val="0"/>
          <w:numId w:val="0"/>
        </w:numPr>
        <w:bidi w:val="0"/>
        <w:ind w:left="420" w:leftChars="200"/>
        <w:rPr>
          <w:rFonts w:hint="default" w:eastAsia="宋体"/>
          <w:lang w:val="en-US" w:eastAsia="zh-CN"/>
        </w:rPr>
      </w:pPr>
      <w:r>
        <w:rPr>
          <w:rFonts w:hint="eastAsia"/>
          <w:lang w:val="en-US" w:eastAsia="zh-CN"/>
        </w:rPr>
        <w:t>支持新增和选配满意度调查项，运维工程师可根据需要进行灵活搭配，快速构建出匹配不同场景的场景化调查模板。</w:t>
      </w:r>
    </w:p>
    <w:p w14:paraId="71DE2982">
      <w:pPr>
        <w:pStyle w:val="29"/>
        <w:numPr>
          <w:ilvl w:val="0"/>
          <w:numId w:val="4"/>
        </w:numPr>
        <w:bidi w:val="0"/>
        <w:ind w:left="425" w:leftChars="0" w:hanging="425" w:firstLineChars="0"/>
        <w:rPr>
          <w:rFonts w:hint="eastAsia"/>
          <w:lang w:val="en-US" w:eastAsia="zh-CN"/>
        </w:rPr>
      </w:pPr>
      <w:r>
        <w:rPr>
          <w:rFonts w:hint="eastAsia"/>
          <w:lang w:val="en-US" w:eastAsia="zh-CN"/>
        </w:rPr>
        <w:t>满意度调查问卷发放</w:t>
      </w:r>
    </w:p>
    <w:p w14:paraId="77816147">
      <w:pPr>
        <w:pStyle w:val="29"/>
        <w:bidi w:val="0"/>
        <w:rPr>
          <w:rFonts w:hint="default" w:eastAsia="宋体"/>
          <w:lang w:val="en-US" w:eastAsia="zh-CN"/>
        </w:rPr>
      </w:pPr>
      <w:r>
        <w:t>满意度调查问卷发放环节，通过手动</w:t>
      </w:r>
      <w:r>
        <w:rPr>
          <w:rFonts w:hint="eastAsia"/>
          <w:lang w:val="en-US" w:eastAsia="zh-CN"/>
        </w:rPr>
        <w:t>选择客户群体进行发放</w:t>
      </w:r>
    </w:p>
    <w:p w14:paraId="35F77254">
      <w:pPr>
        <w:pStyle w:val="29"/>
        <w:numPr>
          <w:ilvl w:val="0"/>
          <w:numId w:val="4"/>
        </w:numPr>
        <w:bidi w:val="0"/>
        <w:ind w:left="425" w:leftChars="0" w:hanging="425" w:firstLineChars="0"/>
        <w:rPr>
          <w:rFonts w:hint="default"/>
          <w:lang w:val="en-US" w:eastAsia="zh-CN"/>
        </w:rPr>
      </w:pPr>
      <w:r>
        <w:rPr>
          <w:rFonts w:hint="eastAsia"/>
          <w:lang w:val="en-US" w:eastAsia="zh-CN"/>
        </w:rPr>
        <w:t>满意度调查问卷的结果汇总统计</w:t>
      </w:r>
    </w:p>
    <w:p w14:paraId="69D238BF">
      <w:pPr>
        <w:pStyle w:val="29"/>
        <w:numPr>
          <w:ilvl w:val="0"/>
          <w:numId w:val="0"/>
        </w:numPr>
        <w:bidi w:val="0"/>
        <w:ind w:left="420" w:leftChars="200"/>
        <w:rPr>
          <w:rFonts w:hint="default"/>
          <w:lang w:val="en-US" w:eastAsia="zh-CN"/>
        </w:rPr>
      </w:pPr>
      <w:r>
        <w:rPr>
          <w:rFonts w:hint="eastAsia"/>
          <w:lang w:val="en-US" w:eastAsia="zh-CN"/>
        </w:rPr>
        <w:t>支持外部导入Excel形式的满意度调查问卷，并自动对问卷的结果进行汇总。</w:t>
      </w:r>
    </w:p>
    <w:p w14:paraId="69F3721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1882"/>
      <w:r>
        <w:rPr>
          <w:rFonts w:hint="default"/>
          <w:lang w:val="en-US" w:eastAsia="zh-CN"/>
        </w:rPr>
        <w:t>研发团队</w:t>
      </w:r>
      <w:bookmarkEnd w:id="9"/>
    </w:p>
    <w:p w14:paraId="6B8F30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p w14:paraId="0C9EFB02">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表3-1 人员配置表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01995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B3FAA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8E829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3F30C2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197F1E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6B6AC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EA5C7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BEF3B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8CB5D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5F134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61B6C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A4F81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1BD0D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5C9067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7D451A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7E855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74B8B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4FDE60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538A4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78B79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C4E04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71AAD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84821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10AE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F2121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75CD1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25D79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0A60905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3B54E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3AB96F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015626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6A5A750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7020"/>
      <w:r>
        <w:rPr>
          <w:rFonts w:hint="default"/>
          <w:lang w:val="en-US" w:eastAsia="zh-CN"/>
        </w:rPr>
        <w:t>研发环境</w:t>
      </w:r>
      <w:bookmarkEnd w:id="10"/>
    </w:p>
    <w:p w14:paraId="7CFE108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研发与部署所需环境如下：</w:t>
      </w:r>
    </w:p>
    <w:p w14:paraId="74F797AC">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表3-2 环境需求表</w:t>
      </w:r>
    </w:p>
    <w:tbl>
      <w:tblPr>
        <w:tblStyle w:val="20"/>
        <w:tblW w:w="8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82"/>
        <w:gridCol w:w="708"/>
        <w:gridCol w:w="4278"/>
        <w:gridCol w:w="2138"/>
      </w:tblGrid>
      <w:tr w14:paraId="14D21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3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D909B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资源名称</w:t>
            </w:r>
          </w:p>
        </w:tc>
        <w:tc>
          <w:tcPr>
            <w:tcW w:w="70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33377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级别</w:t>
            </w:r>
          </w:p>
        </w:tc>
        <w:tc>
          <w:tcPr>
            <w:tcW w:w="427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10EF5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详细配置/要求</w:t>
            </w:r>
          </w:p>
        </w:tc>
        <w:tc>
          <w:tcPr>
            <w:tcW w:w="213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78AAC0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获取方式</w:t>
            </w:r>
          </w:p>
        </w:tc>
      </w:tr>
      <w:tr w14:paraId="62FE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36B03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开发/测试环境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DD6A2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9FC5F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独立容器化环境，Java/Python/Node.js，MySQL，Redis</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B46A5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利用公司现有资源搭建</w:t>
            </w:r>
          </w:p>
        </w:tc>
      </w:tr>
      <w:tr w14:paraId="16CB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DD042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生产环境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0CD14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1B6F8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云服务器集群，负载均衡</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8A21E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采购云服务或使用公司云平台</w:t>
            </w:r>
          </w:p>
        </w:tc>
      </w:tr>
      <w:tr w14:paraId="52B6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92AB1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版本控制与CI/CD</w:t>
            </w:r>
          </w:p>
        </w:tc>
        <w:tc>
          <w:tcPr>
            <w:tcW w:w="70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B8DDA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1CA6A6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Git，Jenkins</w:t>
            </w:r>
          </w:p>
        </w:tc>
        <w:tc>
          <w:tcPr>
            <w:tcW w:w="213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33CA5B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自建或使用现有工具</w:t>
            </w:r>
          </w:p>
        </w:tc>
      </w:tr>
    </w:tbl>
    <w:p w14:paraId="6F2EE37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689"/>
      <w:r>
        <w:rPr>
          <w:rFonts w:hint="default"/>
          <w:lang w:val="en-US" w:eastAsia="zh-CN"/>
        </w:rPr>
        <w:t>研发进度</w:t>
      </w:r>
      <w:bookmarkEnd w:id="11"/>
    </w:p>
    <w:p w14:paraId="7601AC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为有序推进研发工作，项目主要阶段与计划安排如下：</w:t>
      </w:r>
    </w:p>
    <w:p w14:paraId="4E29C893">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表3-3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82"/>
        <w:gridCol w:w="2556"/>
        <w:gridCol w:w="4185"/>
      </w:tblGrid>
      <w:tr w14:paraId="0B1CB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B9B044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55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D744F7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2EE017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74ED6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11FB8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99B0C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D6A60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35171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7E5EDF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F0AAE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AA5EFE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2650B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A17377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55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FAA6A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13C14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54C0F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16319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55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7B573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8A274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22A4AF76">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25183FA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124"/>
      <w:r>
        <w:rPr>
          <w:rFonts w:hint="eastAsia"/>
          <w:lang w:val="en-US" w:eastAsia="zh-CN"/>
        </w:rPr>
        <w:t>运维手册研发</w:t>
      </w:r>
      <w:bookmarkEnd w:id="12"/>
    </w:p>
    <w:p w14:paraId="3CEDE1E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0420"/>
      <w:r>
        <w:rPr>
          <w:rFonts w:hint="default"/>
          <w:lang w:val="en-US" w:eastAsia="zh-CN"/>
        </w:rPr>
        <w:t>现状分析</w:t>
      </w:r>
      <w:bookmarkEnd w:id="13"/>
    </w:p>
    <w:p w14:paraId="3BA84E1D">
      <w:pPr>
        <w:pStyle w:val="29"/>
        <w:rPr>
          <w:rFonts w:hint="default"/>
          <w:lang w:val="en-US" w:eastAsia="zh-CN"/>
        </w:rPr>
      </w:pPr>
      <w:r>
        <w:rPr>
          <w:rFonts w:hint="default"/>
          <w:lang w:val="en-US" w:eastAsia="zh-CN"/>
        </w:rPr>
        <w:t>公司目前已针对部分辅助系统编制了操作手册。这些手册为特定系统的操作与故障排查提供了基础指导，在一定程度上支持了相关运维工作的开展。</w:t>
      </w:r>
    </w:p>
    <w:p w14:paraId="0B3CA75E">
      <w:pPr>
        <w:pStyle w:val="29"/>
        <w:rPr>
          <w:rFonts w:hint="default"/>
          <w:lang w:val="en-US" w:eastAsia="zh-CN"/>
        </w:rPr>
      </w:pPr>
      <w:r>
        <w:rPr>
          <w:rFonts w:hint="default"/>
          <w:lang w:val="en-US" w:eastAsia="zh-CN"/>
        </w:rPr>
        <w:t>然而，作为公司核心运维业务的视频监控系统，当前手册研发存在以下不足：</w:t>
      </w:r>
    </w:p>
    <w:p w14:paraId="3D95EEA7">
      <w:pPr>
        <w:pStyle w:val="29"/>
        <w:rPr>
          <w:rFonts w:hint="default"/>
          <w:lang w:val="en-US" w:eastAsia="zh-CN"/>
        </w:rPr>
      </w:pPr>
      <w:r>
        <w:rPr>
          <w:rFonts w:hint="default"/>
          <w:lang w:val="en-US" w:eastAsia="zh-CN"/>
        </w:rPr>
        <w:t>覆盖不全面：视频监控系统涉及前端设备（摄像机、立杆、电源、防雷器）、网络传输（光纤收发器、交换机、光缆）、后端存储（NVR/CVR、视频综合平台）等多个层次，但目前尚未形成覆盖全链路的系统化运维手册，大量日常维护操作依赖工程师个人经验。</w:t>
      </w:r>
    </w:p>
    <w:p w14:paraId="4D220E15">
      <w:pPr>
        <w:pStyle w:val="29"/>
        <w:rPr>
          <w:rFonts w:hint="default"/>
          <w:lang w:val="en-US" w:eastAsia="zh-CN"/>
        </w:rPr>
      </w:pPr>
      <w:r>
        <w:rPr>
          <w:rFonts w:hint="default"/>
          <w:lang w:val="en-US" w:eastAsia="zh-CN"/>
        </w:rPr>
        <w:t>格式不规范：现有手册格式、内容深度、更新机制不统一，不利于知识的标准化管理与快速查阅，新员工上手困难。</w:t>
      </w:r>
    </w:p>
    <w:p w14:paraId="03E4C44B">
      <w:pPr>
        <w:pStyle w:val="29"/>
        <w:rPr>
          <w:rFonts w:hint="default"/>
          <w:lang w:val="en-US" w:eastAsia="zh-CN"/>
        </w:rPr>
      </w:pPr>
      <w:r>
        <w:rPr>
          <w:rFonts w:hint="default"/>
          <w:lang w:val="en-US" w:eastAsia="zh-CN"/>
        </w:rPr>
        <w:t>知识未体系化：操作手册、故障处理、应急预案等知识分散存储，未与公司知识管理体系有效融合，难以发挥协同效应。</w:t>
      </w:r>
    </w:p>
    <w:p w14:paraId="1D79753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4476"/>
      <w:r>
        <w:rPr>
          <w:rFonts w:hint="default"/>
          <w:lang w:val="en-US" w:eastAsia="zh-CN"/>
        </w:rPr>
        <w:t>研发必要性</w:t>
      </w:r>
      <w:bookmarkEnd w:id="14"/>
    </w:p>
    <w:p w14:paraId="4CAD879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系统化、标准化的运维手册是确保运维服务规范性、可重复性与安全性的基石，其研发必要性体现在：</w:t>
      </w:r>
    </w:p>
    <w:p w14:paraId="630E41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降低操作风险：为高频、复杂或关键操作提供标准作业程序（SOP），减少人为误操作风险。</w:t>
      </w:r>
    </w:p>
    <w:p w14:paraId="1651DF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提升处置效率：当系统发生故障时，完备的故障处理手册能指导工程师快速定位与恢复，缩短MTTR（平均修复时间）。</w:t>
      </w:r>
    </w:p>
    <w:p w14:paraId="256E7EB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促进知识传承：形成系统化的知识资产，降低对特定专家的依赖，加速新员工成长，保障服务连续性。</w:t>
      </w:r>
    </w:p>
    <w:p w14:paraId="49142C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满足合规要求：完善的技术文档是IT服务管理体系（如ITSS、ISO20000）认证与审计的必备要素。</w:t>
      </w:r>
    </w:p>
    <w:p w14:paraId="1B2305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7932"/>
      <w:r>
        <w:rPr>
          <w:rFonts w:hint="default"/>
          <w:lang w:val="en-US" w:eastAsia="zh-CN"/>
        </w:rPr>
        <w:t>手册研发计划</w:t>
      </w:r>
      <w:bookmarkEnd w:id="15"/>
    </w:p>
    <w:p w14:paraId="019D7F6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2025年度，计划启动运维手册的标准化研发工作，具体计划如下：</w:t>
      </w:r>
    </w:p>
    <w:p w14:paraId="262911A0">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w:t>
      </w:r>
      <w:r>
        <w:rPr>
          <w:rFonts w:hint="eastAsia"/>
          <w:lang w:val="en-US" w:eastAsia="zh-CN"/>
        </w:rPr>
        <w:t>4</w:t>
      </w:r>
      <w:r>
        <w:rPr>
          <w:rFonts w:hint="default"/>
          <w:lang w:val="en-US" w:eastAsia="zh-CN"/>
        </w:rPr>
        <w:t>-1 运维手册研发计划表（2025年度）</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5FBA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02C000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484BE2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17F316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62748A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7FB162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6DFC76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12C25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4FD6595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172F09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2297ED1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视频监控平台运维手册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312914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fill="FFFFFF"/>
              </w:rPr>
              <w:t>涵盖视频监控平台（含摄像机、NVR、解码器等）的部署配置、日常操作、监控巡检及常见故障处理指南</w:t>
            </w:r>
          </w:p>
        </w:tc>
        <w:tc>
          <w:tcPr>
            <w:tcW w:w="908" w:type="dxa"/>
            <w:shd w:val="clear" w:color="auto" w:fill="auto"/>
            <w:tcMar>
              <w:top w:w="120" w:type="dxa"/>
              <w:left w:w="192" w:type="dxa"/>
              <w:bottom w:w="120" w:type="dxa"/>
              <w:right w:w="192" w:type="dxa"/>
            </w:tcMar>
            <w:vAlign w:val="center"/>
          </w:tcPr>
          <w:p w14:paraId="0FE34A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3FADC84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114B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6DA9A2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30C7D2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5552A5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fill="FFFFFF"/>
              </w:rPr>
              <w:t>视频监控网络传输故障排查手册</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1230CE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fill="FFFFFF"/>
              </w:rPr>
              <w:t>涵盖光纤收发器、交换机、IP规划等网络传输设备的故障定位方法、排查步骤及典型问题处理流程</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908" w:type="dxa"/>
            <w:shd w:val="clear" w:color="auto" w:fill="auto"/>
            <w:tcMar>
              <w:top w:w="120" w:type="dxa"/>
              <w:left w:w="192" w:type="dxa"/>
              <w:bottom w:w="120" w:type="dxa"/>
              <w:right w:w="192" w:type="dxa"/>
            </w:tcMar>
            <w:vAlign w:val="center"/>
          </w:tcPr>
          <w:p w14:paraId="4F38A3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51A783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115F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544539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775C2B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137CEC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w:t>
            </w:r>
            <w:r>
              <w:rPr>
                <w:rFonts w:ascii="Segoe UI" w:hAnsi="Segoe UI" w:eastAsia="Segoe UI" w:cs="Segoe UI"/>
                <w:i w:val="0"/>
                <w:iCs w:val="0"/>
                <w:caps w:val="0"/>
                <w:color w:val="0F1115"/>
                <w:spacing w:val="0"/>
                <w:sz w:val="18"/>
                <w:szCs w:val="18"/>
                <w:shd w:val="clear" w:fill="FFFFFF"/>
              </w:rPr>
              <w:t>视频存储与平台运维手册</w:t>
            </w:r>
            <w:r>
              <w:rPr>
                <w:rFonts w:hint="eastAsia" w:ascii="Segoe UI" w:hAnsi="Segoe UI" w:eastAsia="Segoe UI" w:cs="Segoe UI"/>
                <w:i w:val="0"/>
                <w:iCs w:val="0"/>
                <w:caps w:val="0"/>
                <w:snapToGrid w:val="0"/>
                <w:color w:val="000000"/>
                <w:spacing w:val="0"/>
                <w:kern w:val="0"/>
                <w:sz w:val="18"/>
                <w:szCs w:val="18"/>
                <w:lang w:val="en-US" w:eastAsia="zh-CN"/>
              </w:rPr>
              <w:t>》</w:t>
            </w:r>
          </w:p>
        </w:tc>
        <w:tc>
          <w:tcPr>
            <w:tcW w:w="2831" w:type="dxa"/>
            <w:shd w:val="clear" w:color="auto" w:fill="auto"/>
            <w:tcMar>
              <w:top w:w="120" w:type="dxa"/>
              <w:left w:w="192" w:type="dxa"/>
              <w:bottom w:w="120" w:type="dxa"/>
              <w:right w:w="192" w:type="dxa"/>
            </w:tcMar>
            <w:vAlign w:val="center"/>
          </w:tcPr>
          <w:p w14:paraId="46C533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ascii="Segoe UI" w:hAnsi="Segoe UI" w:eastAsia="Segoe UI" w:cs="Segoe UI"/>
                <w:i w:val="0"/>
                <w:iCs w:val="0"/>
                <w:caps w:val="0"/>
                <w:color w:val="0F1115"/>
                <w:spacing w:val="0"/>
                <w:sz w:val="18"/>
                <w:szCs w:val="18"/>
                <w:shd w:val="clear" w:fill="FFFFFF"/>
              </w:rPr>
              <w:t>涵盖NVR/CVR存储设备、视频综合平台、存储服务器的日常运维、容量管理、录像完整性检查及故障恢复操作</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030AD5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运维部、研发部</w:t>
            </w:r>
          </w:p>
        </w:tc>
        <w:tc>
          <w:tcPr>
            <w:tcW w:w="1003" w:type="dxa"/>
            <w:shd w:val="clear" w:color="auto" w:fill="auto"/>
            <w:tcMar>
              <w:top w:w="120" w:type="dxa"/>
              <w:left w:w="192" w:type="dxa"/>
              <w:bottom w:w="120" w:type="dxa"/>
              <w:right w:w="0" w:type="dxa"/>
            </w:tcMar>
            <w:vAlign w:val="center"/>
          </w:tcPr>
          <w:p w14:paraId="5B8615B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58C087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手册研发标准：所有新编手册将遵循公司统一的模板与编写规范，确保结构清晰（概述、环境要求、操作步骤、故障处理、附录等）、语言准确、图文并茂，并纳入公司</w:t>
      </w:r>
      <w:r>
        <w:rPr>
          <w:rFonts w:hint="eastAsia"/>
          <w:lang w:val="en-US" w:eastAsia="zh-CN"/>
        </w:rPr>
        <w:t>服务知识</w:t>
      </w:r>
      <w:r>
        <w:rPr>
          <w:rFonts w:hint="default"/>
          <w:lang w:val="en-US" w:eastAsia="zh-CN"/>
        </w:rPr>
        <w:t>进行版本管理与共享。</w:t>
      </w:r>
    </w:p>
    <w:p w14:paraId="7C61864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2257"/>
      <w:r>
        <w:rPr>
          <w:rFonts w:hint="default"/>
          <w:lang w:val="en-US" w:eastAsia="zh-CN"/>
        </w:rPr>
        <w:t>新技术研发规划</w:t>
      </w:r>
      <w:bookmarkEnd w:id="16"/>
    </w:p>
    <w:p w14:paraId="4DDAE6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基于公司当前纯软件运维的业务背景及现有自动化工具的成功实践，为持续提升运维效率、扩展服务能力并构建技术壁垒，2025年度将启动以“运维智能化”与“流程超自动化”为核心的新技术研发探索。</w:t>
      </w:r>
    </w:p>
    <w:p w14:paraId="3909C7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32424"/>
      <w:r>
        <w:rPr>
          <w:rFonts w:hint="default"/>
          <w:lang w:val="en-US" w:eastAsia="zh-CN"/>
        </w:rPr>
        <w:t>研发方向与目标</w:t>
      </w:r>
      <w:bookmarkEnd w:id="17"/>
    </w:p>
    <w:p w14:paraId="48D3A9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本阶段新技术研发将聚焦以下两个方向：</w:t>
      </w:r>
    </w:p>
    <w:p w14:paraId="21DA6E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AIOps）场景化应用探索：结合现有监控与运维数据，探索利用机器学习算法实现告警智能降噪、故障根因自动定位、以及系统容量与性能的趋势预测。目标是将部分人工经验判断转化为系统智能分析，实现从“被动响应”到“主动预防”的初期能力建设。</w:t>
      </w:r>
    </w:p>
    <w:p w14:paraId="044E42E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在现有财务机器人等点状自动化成功的基础上，研究“机器人流程自动化（RPA）”与“低代码工作流”在更广泛运维场景（如跨系统数据同步、合规性自动检查、报告自动生成）中的集成与应用模式。目标是构建可复用的自动化组件库，降低新自动化场景的构建门槛与周期。</w:t>
      </w:r>
    </w:p>
    <w:p w14:paraId="19C4083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5538"/>
      <w:r>
        <w:rPr>
          <w:rFonts w:hint="default"/>
          <w:lang w:val="en-US" w:eastAsia="zh-CN"/>
        </w:rPr>
        <w:t>实施路径</w:t>
      </w:r>
      <w:bookmarkEnd w:id="18"/>
    </w:p>
    <w:p w14:paraId="10F1B14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新技术研发将采用“小步快跑、试点先行”的策略：</w:t>
      </w:r>
    </w:p>
    <w:p w14:paraId="46FFE39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预研与评估（2025年Q2-Q3）：成立虚拟技术小组，对AIOps开源框架（如Prometheus Stack的AI插件）和主流RPA平台进行技术选型评估，并选择1-2个高频率、规则清晰的运维场景（如日志错误模式识别、月度巡检报告生成）进行技术可行性验证与原型开发。</w:t>
      </w:r>
    </w:p>
    <w:p w14:paraId="664564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与融合（2025年Q4）：将初步验证成功的原型在公司内部非核心环境中进行小范围试点运行，评估其稳定性、准确性与效率提升效果。同时，探索其与正在研发的“智能服务管理与分析平台”及“知识库”的数据接口与流程整合可能性。</w:t>
      </w:r>
    </w:p>
    <w:p w14:paraId="1EFDC7B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5384"/>
      <w:r>
        <w:rPr>
          <w:rFonts w:hint="default"/>
          <w:lang w:val="en-US" w:eastAsia="zh-CN"/>
        </w:rPr>
        <w:t>资源投入</w:t>
      </w:r>
      <w:bookmarkEnd w:id="19"/>
    </w:p>
    <w:p w14:paraId="73FAD0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初期不设专职团队，由研发部牵头，抽调运维部的业务骨干与</w:t>
      </w:r>
      <w:r>
        <w:rPr>
          <w:rFonts w:hint="eastAsia"/>
          <w:lang w:val="en-US" w:eastAsia="zh-CN"/>
        </w:rPr>
        <w:t>开发</w:t>
      </w:r>
      <w:r>
        <w:rPr>
          <w:rFonts w:hint="default"/>
          <w:lang w:val="en-US" w:eastAsia="zh-CN"/>
        </w:rPr>
        <w:t>工程师以兼职形式组成虚拟小组。年度预留15万元作为专项探索经费，用于外部的技术培训、云上实验资源及必要的概念验证（PoC）工具采购。本阶段重在能力建设和方向验证，为未来可能的规模化投入奠定基础。</w:t>
      </w:r>
    </w:p>
    <w:p w14:paraId="0B5B19F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6708"/>
      <w:r>
        <w:rPr>
          <w:rFonts w:hint="default"/>
          <w:lang w:val="en-US" w:eastAsia="zh-CN"/>
        </w:rPr>
        <w:t>资源与经费</w:t>
      </w:r>
      <w:bookmarkEnd w:id="20"/>
    </w:p>
    <w:p w14:paraId="39A4DA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本次规划涉及多个研发项目，总预算将分阶段、按项目进行申请与投入。2025年度项目经费估算如下：</w:t>
      </w:r>
    </w:p>
    <w:p w14:paraId="1732EB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37C5A9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22C24E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6A0A96BF">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表6-1 2025年度研发经费估算表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2DF8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002FD2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3EE9A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CCF53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373FD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6A40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FCE72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C8138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06C20C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A5463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0BF37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074B8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F51C9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66FC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1F3B59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7C0A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3B82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73831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A6A5C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25608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6617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5D7326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81B1D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7500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D7F4C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01F8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55E73B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4C4F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8B65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4B601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0E0F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3CF5B20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00DC8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8694B6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2DE919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3E743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77DF35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92EBA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7C44F3F">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w:t>
            </w: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01412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3C030B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8114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F598E87"/>
    <w:multiLevelType w:val="singleLevel"/>
    <w:tmpl w:val="EF598E87"/>
    <w:lvl w:ilvl="0" w:tentative="0">
      <w:start w:val="1"/>
      <w:numFmt w:val="decimal"/>
      <w:lvlText w:val="%1."/>
      <w:lvlJc w:val="left"/>
      <w:pPr>
        <w:ind w:left="425" w:hanging="425"/>
      </w:pPr>
      <w:rPr>
        <w:rFonts w:hint="default"/>
      </w:rPr>
    </w:lvl>
  </w:abstractNum>
  <w:abstractNum w:abstractNumId="2">
    <w:nsid w:val="26612608"/>
    <w:multiLevelType w:val="singleLevel"/>
    <w:tmpl w:val="26612608"/>
    <w:lvl w:ilvl="0" w:tentative="0">
      <w:start w:val="1"/>
      <w:numFmt w:val="decimal"/>
      <w:lvlText w:val="%1."/>
      <w:lvlJc w:val="left"/>
      <w:pPr>
        <w:ind w:left="425" w:hanging="425"/>
      </w:pPr>
      <w:rPr>
        <w:rFonts w:hint="default"/>
      </w:rPr>
    </w:lvl>
  </w:abstractNum>
  <w:abstractNum w:abstractNumId="3">
    <w:nsid w:val="2956C0F8"/>
    <w:multiLevelType w:val="singleLevel"/>
    <w:tmpl w:val="2956C0F8"/>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BF3353"/>
    <w:rsid w:val="049820AD"/>
    <w:rsid w:val="16585B40"/>
    <w:rsid w:val="16CC29F7"/>
    <w:rsid w:val="1CE066A6"/>
    <w:rsid w:val="21CA5B44"/>
    <w:rsid w:val="224D0523"/>
    <w:rsid w:val="31166C52"/>
    <w:rsid w:val="338C3B7D"/>
    <w:rsid w:val="352002E8"/>
    <w:rsid w:val="3A2372E5"/>
    <w:rsid w:val="3DEE2C66"/>
    <w:rsid w:val="47E37174"/>
    <w:rsid w:val="589870FB"/>
    <w:rsid w:val="5A8D7133"/>
    <w:rsid w:val="5C781762"/>
    <w:rsid w:val="5FD90725"/>
    <w:rsid w:val="6ADE78CA"/>
    <w:rsid w:val="6C465E79"/>
    <w:rsid w:val="7766661C"/>
    <w:rsid w:val="79E9735F"/>
    <w:rsid w:val="7C5A4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1833</Words>
  <Characters>2002</Characters>
  <Lines>0</Lines>
  <Paragraphs>0</Paragraphs>
  <TotalTime>9</TotalTime>
  <ScaleCrop>false</ScaleCrop>
  <LinksUpToDate>false</LinksUpToDate>
  <CharactersWithSpaces>2046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2026-04-24T18:09:19Z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